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43632A" w14:textId="77777777" w:rsidR="00A93E89" w:rsidRPr="00F51600" w:rsidRDefault="00A93E89" w:rsidP="00811B63">
      <w:pPr>
        <w:pStyle w:val="Heading4"/>
        <w:pageBreakBefore w:val="0"/>
        <w:spacing w:before="320"/>
      </w:pPr>
      <w:r w:rsidRPr="00F51600">
        <w:t>Sphere, quotes on resilience and disasters</w:t>
      </w:r>
    </w:p>
    <w:tbl>
      <w:tblPr>
        <w:tblW w:w="0" w:type="auto"/>
        <w:tblBorders>
          <w:top w:val="dashed" w:sz="4" w:space="0" w:color="579305" w:themeColor="accent1"/>
          <w:left w:val="dashed" w:sz="4" w:space="0" w:color="579305" w:themeColor="accent1"/>
          <w:bottom w:val="dashed" w:sz="4" w:space="0" w:color="579305" w:themeColor="accent1"/>
          <w:right w:val="dashed" w:sz="4" w:space="0" w:color="579305" w:themeColor="accent1"/>
          <w:insideH w:val="dashed" w:sz="4" w:space="0" w:color="579305" w:themeColor="accent1"/>
          <w:insideV w:val="dashed" w:sz="4" w:space="0" w:color="579305" w:themeColor="accent1"/>
        </w:tblBorders>
        <w:tblLook w:val="04A0" w:firstRow="1" w:lastRow="0" w:firstColumn="1" w:lastColumn="0" w:noHBand="0" w:noVBand="1"/>
      </w:tblPr>
      <w:tblGrid>
        <w:gridCol w:w="9402"/>
      </w:tblGrid>
      <w:tr w:rsidR="00F51600" w:rsidRPr="002F2B87" w14:paraId="38EA0C97" w14:textId="77777777" w:rsidTr="00F00BF6">
        <w:trPr>
          <w:trHeight w:val="1985"/>
        </w:trPr>
        <w:tc>
          <w:tcPr>
            <w:tcW w:w="9628" w:type="dxa"/>
            <w:shd w:val="clear" w:color="auto" w:fill="auto"/>
            <w:vAlign w:val="center"/>
          </w:tcPr>
          <w:p w14:paraId="75402576" w14:textId="4C623D45" w:rsidR="00F51600" w:rsidRPr="002F2B87" w:rsidRDefault="00F51600" w:rsidP="009D7027">
            <w:pPr>
              <w:pStyle w:val="Largebodytable"/>
            </w:pPr>
            <w:r w:rsidRPr="002F2B87">
              <w:t>“Relief and recovery efforts must consider future hazards and vulnerabilities in order to build communities back safer and promote stronger resilience.” p.</w:t>
            </w:r>
            <w:r w:rsidR="00D6529F">
              <w:t>1</w:t>
            </w:r>
            <w:r w:rsidR="00E109CE">
              <w:t>1</w:t>
            </w:r>
          </w:p>
        </w:tc>
      </w:tr>
      <w:tr w:rsidR="00F51600" w:rsidRPr="002F2B87" w14:paraId="2742594F" w14:textId="77777777" w:rsidTr="00F00BF6">
        <w:trPr>
          <w:trHeight w:val="1985"/>
        </w:trPr>
        <w:tc>
          <w:tcPr>
            <w:tcW w:w="9628" w:type="dxa"/>
            <w:shd w:val="clear" w:color="auto" w:fill="auto"/>
            <w:vAlign w:val="center"/>
          </w:tcPr>
          <w:p w14:paraId="05F1C5EA" w14:textId="77777777" w:rsidR="00F51600" w:rsidRPr="002F2B87" w:rsidRDefault="00F51600" w:rsidP="009D7027">
            <w:pPr>
              <w:pStyle w:val="Largebodytable"/>
            </w:pPr>
            <w:r w:rsidRPr="002F2B87">
              <w:t>“Support for people’s coping strategies, resilience and recovery capacities is essential.” Technical chapters</w:t>
            </w:r>
            <w:r w:rsidR="00D6529F">
              <w:t>, p.86, 149, 248, 295</w:t>
            </w:r>
          </w:p>
        </w:tc>
      </w:tr>
      <w:tr w:rsidR="00F51600" w:rsidRPr="002F2B87" w14:paraId="4D914FA8" w14:textId="77777777" w:rsidTr="00F00BF6">
        <w:trPr>
          <w:trHeight w:val="1985"/>
        </w:trPr>
        <w:tc>
          <w:tcPr>
            <w:tcW w:w="9628" w:type="dxa"/>
            <w:shd w:val="clear" w:color="auto" w:fill="auto"/>
            <w:vAlign w:val="center"/>
          </w:tcPr>
          <w:p w14:paraId="3768E120" w14:textId="77777777" w:rsidR="00F51600" w:rsidRPr="002F2B87" w:rsidRDefault="00F51600" w:rsidP="009D7027">
            <w:pPr>
              <w:pStyle w:val="Largebodytable"/>
            </w:pPr>
            <w:r w:rsidRPr="002F2B87">
              <w:t>“Relief aid must strive to reduce future vulnerabilities to disaster as well as meeting basic needs.” Code of Conduct, Article 8</w:t>
            </w:r>
            <w:r w:rsidR="00D6529F">
              <w:t>, p.372</w:t>
            </w:r>
          </w:p>
        </w:tc>
      </w:tr>
      <w:tr w:rsidR="00F51600" w:rsidRPr="002F2B87" w14:paraId="6F337D07" w14:textId="77777777" w:rsidTr="00F00BF6">
        <w:trPr>
          <w:trHeight w:val="1985"/>
        </w:trPr>
        <w:tc>
          <w:tcPr>
            <w:tcW w:w="9628" w:type="dxa"/>
            <w:shd w:val="clear" w:color="auto" w:fill="auto"/>
            <w:vAlign w:val="center"/>
          </w:tcPr>
          <w:p w14:paraId="5AA9C15D" w14:textId="77777777" w:rsidR="00D6529F" w:rsidRDefault="00F51600" w:rsidP="00D6529F">
            <w:pPr>
              <w:pStyle w:val="Largebodytable"/>
            </w:pPr>
            <w:r w:rsidRPr="002F2B87">
              <w:t xml:space="preserve">“People have a right to humanitarian food assistance that ensures their survival and upholds their dignity, and as far as possible prevents the erosion of their assets and builds resilience.” </w:t>
            </w:r>
            <w:r w:rsidR="00D6529F">
              <w:t xml:space="preserve"> </w:t>
            </w:r>
          </w:p>
          <w:p w14:paraId="3D6BE4C0" w14:textId="77777777" w:rsidR="00F51600" w:rsidRPr="002F2B87" w:rsidRDefault="00C7602D" w:rsidP="00020540">
            <w:pPr>
              <w:pStyle w:val="Largebodytable"/>
              <w:spacing w:before="80"/>
            </w:pPr>
            <w:r>
              <w:t>Food security s</w:t>
            </w:r>
            <w:r w:rsidR="00D6529F">
              <w:t>tandard 1:</w:t>
            </w:r>
            <w:r>
              <w:t xml:space="preserve"> General food s</w:t>
            </w:r>
            <w:r w:rsidR="00F51600" w:rsidRPr="002F2B87">
              <w:t>ecurity</w:t>
            </w:r>
            <w:r w:rsidR="00D6529F">
              <w:t>, p</w:t>
            </w:r>
            <w:r>
              <w:t>.</w:t>
            </w:r>
            <w:r w:rsidR="00D6529F">
              <w:t>176</w:t>
            </w:r>
          </w:p>
        </w:tc>
      </w:tr>
    </w:tbl>
    <w:p w14:paraId="2550693C" w14:textId="77777777" w:rsidR="00A93E89" w:rsidRDefault="00A93E89" w:rsidP="00F51600">
      <w:pPr>
        <w:pStyle w:val="Heading4"/>
      </w:pPr>
      <w:r>
        <w:lastRenderedPageBreak/>
        <w:t>Definition game</w:t>
      </w:r>
    </w:p>
    <w:tbl>
      <w:tblPr>
        <w:tblW w:w="0" w:type="auto"/>
        <w:tblBorders>
          <w:top w:val="dashed" w:sz="6" w:space="0" w:color="579305"/>
          <w:left w:val="dashed" w:sz="6" w:space="0" w:color="579305"/>
          <w:bottom w:val="dashed" w:sz="6" w:space="0" w:color="579305"/>
          <w:right w:val="dashed" w:sz="6" w:space="0" w:color="579305"/>
          <w:insideH w:val="dashed" w:sz="6" w:space="0" w:color="579305"/>
          <w:insideV w:val="dashed" w:sz="6" w:space="0" w:color="579305"/>
        </w:tblBorders>
        <w:tblLayout w:type="fixed"/>
        <w:tblLook w:val="04A0" w:firstRow="1" w:lastRow="0" w:firstColumn="1" w:lastColumn="0" w:noHBand="0" w:noVBand="1"/>
      </w:tblPr>
      <w:tblGrid>
        <w:gridCol w:w="4503"/>
        <w:gridCol w:w="5125"/>
      </w:tblGrid>
      <w:tr w:rsidR="00C7602D" w:rsidRPr="00A93E89" w14:paraId="46616E78" w14:textId="77777777" w:rsidTr="006F3951">
        <w:trPr>
          <w:cantSplit/>
          <w:tblHeader/>
        </w:trPr>
        <w:tc>
          <w:tcPr>
            <w:tcW w:w="4503" w:type="dxa"/>
            <w:shd w:val="clear" w:color="auto" w:fill="E9F7CB"/>
            <w:vAlign w:val="center"/>
          </w:tcPr>
          <w:p w14:paraId="18E1E7A9" w14:textId="77777777" w:rsidR="00A93E89" w:rsidRPr="006F3951" w:rsidRDefault="006D149B" w:rsidP="00466F95">
            <w:pPr>
              <w:pStyle w:val="tableheading"/>
              <w:spacing w:before="80" w:after="80"/>
              <w:jc w:val="center"/>
            </w:pPr>
            <w:r w:rsidRPr="006F3951">
              <w:t>Term</w:t>
            </w:r>
          </w:p>
        </w:tc>
        <w:tc>
          <w:tcPr>
            <w:tcW w:w="5125" w:type="dxa"/>
            <w:shd w:val="clear" w:color="auto" w:fill="E9F7CB"/>
            <w:vAlign w:val="center"/>
          </w:tcPr>
          <w:p w14:paraId="2D80EF19" w14:textId="77777777" w:rsidR="00A93E89" w:rsidRPr="006F3951" w:rsidRDefault="006D149B" w:rsidP="00466F95">
            <w:pPr>
              <w:pStyle w:val="tableheading"/>
              <w:spacing w:before="80" w:after="80"/>
            </w:pPr>
            <w:r w:rsidRPr="006F3951">
              <w:t>Definition</w:t>
            </w:r>
          </w:p>
        </w:tc>
      </w:tr>
      <w:tr w:rsidR="00A93E89" w:rsidRPr="00A93E89" w14:paraId="460B5E1B" w14:textId="77777777" w:rsidTr="006F3951">
        <w:trPr>
          <w:cantSplit/>
          <w:trHeight w:val="1134"/>
        </w:trPr>
        <w:tc>
          <w:tcPr>
            <w:tcW w:w="4503" w:type="dxa"/>
            <w:shd w:val="clear" w:color="auto" w:fill="auto"/>
            <w:vAlign w:val="center"/>
          </w:tcPr>
          <w:p w14:paraId="22D7CA03" w14:textId="745FFBEA" w:rsidR="00A93E89" w:rsidRPr="006F3951" w:rsidRDefault="00A93E89" w:rsidP="00466F95">
            <w:pPr>
              <w:pStyle w:val="tableheading"/>
              <w:jc w:val="center"/>
            </w:pPr>
            <w:r w:rsidRPr="006F3951">
              <w:t>Ris</w:t>
            </w:r>
            <w:r w:rsidR="00522767">
              <w:t>k</w:t>
            </w:r>
          </w:p>
        </w:tc>
        <w:tc>
          <w:tcPr>
            <w:tcW w:w="5125" w:type="dxa"/>
            <w:shd w:val="clear" w:color="auto" w:fill="auto"/>
            <w:vAlign w:val="center"/>
          </w:tcPr>
          <w:p w14:paraId="4B6D9574" w14:textId="77777777" w:rsidR="00A93E89" w:rsidRPr="00A93E89" w:rsidRDefault="00A93E89" w:rsidP="009D7027">
            <w:pPr>
              <w:pStyle w:val="table"/>
            </w:pPr>
            <w:r w:rsidRPr="00A93E89">
              <w:t>The combination of the probability of an event and its negative consequences (UNISDR 2007)</w:t>
            </w:r>
          </w:p>
        </w:tc>
      </w:tr>
      <w:tr w:rsidR="00A93E89" w:rsidRPr="00A93E89" w14:paraId="2D63D78C" w14:textId="77777777" w:rsidTr="006F3951">
        <w:trPr>
          <w:cantSplit/>
          <w:trHeight w:val="1134"/>
        </w:trPr>
        <w:tc>
          <w:tcPr>
            <w:tcW w:w="4503" w:type="dxa"/>
            <w:shd w:val="clear" w:color="auto" w:fill="auto"/>
            <w:vAlign w:val="center"/>
          </w:tcPr>
          <w:p w14:paraId="3D25F8EB" w14:textId="77777777" w:rsidR="00A93E89" w:rsidRPr="006F3951" w:rsidRDefault="00A93E89" w:rsidP="00466F95">
            <w:pPr>
              <w:pStyle w:val="tableheading"/>
              <w:jc w:val="center"/>
            </w:pPr>
            <w:r w:rsidRPr="006F3951">
              <w:t>Shock</w:t>
            </w:r>
          </w:p>
        </w:tc>
        <w:tc>
          <w:tcPr>
            <w:tcW w:w="5125" w:type="dxa"/>
            <w:shd w:val="clear" w:color="auto" w:fill="auto"/>
            <w:vAlign w:val="center"/>
          </w:tcPr>
          <w:p w14:paraId="74CB114E" w14:textId="77777777" w:rsidR="00A93E89" w:rsidRPr="00A93E89" w:rsidRDefault="00A93E89" w:rsidP="009D7027">
            <w:pPr>
              <w:pStyle w:val="table"/>
            </w:pPr>
            <w:r w:rsidRPr="00A93E89">
              <w:t>Sudden events that have a significant impact – usually negative – on livelihoods. They are irregular and vary in intensity and include events such as natural disasters, civil conflict, losing one’s job, a collapse in crop prices for farmers, etc. (DFID, 2001)</w:t>
            </w:r>
          </w:p>
        </w:tc>
      </w:tr>
      <w:tr w:rsidR="00A93E89" w:rsidRPr="00A93E89" w14:paraId="355FB8F7" w14:textId="77777777" w:rsidTr="006F3951">
        <w:trPr>
          <w:cantSplit/>
          <w:trHeight w:val="1134"/>
        </w:trPr>
        <w:tc>
          <w:tcPr>
            <w:tcW w:w="4503" w:type="dxa"/>
            <w:shd w:val="clear" w:color="auto" w:fill="auto"/>
            <w:vAlign w:val="center"/>
          </w:tcPr>
          <w:p w14:paraId="6A50D339" w14:textId="77777777" w:rsidR="00A93E89" w:rsidRPr="006F3951" w:rsidRDefault="00A93E89" w:rsidP="00466F95">
            <w:pPr>
              <w:pStyle w:val="tableheading"/>
              <w:jc w:val="center"/>
            </w:pPr>
            <w:r w:rsidRPr="006F3951">
              <w:t>Vulnerability</w:t>
            </w:r>
          </w:p>
        </w:tc>
        <w:tc>
          <w:tcPr>
            <w:tcW w:w="5125" w:type="dxa"/>
            <w:shd w:val="clear" w:color="auto" w:fill="auto"/>
            <w:vAlign w:val="center"/>
          </w:tcPr>
          <w:p w14:paraId="39C428D8" w14:textId="77777777" w:rsidR="00A93E89" w:rsidRPr="00A93E89" w:rsidRDefault="00A93E89" w:rsidP="009D7027">
            <w:pPr>
              <w:pStyle w:val="table"/>
            </w:pPr>
            <w:r w:rsidRPr="00A93E89">
              <w:t>Factors causing susceptibility on the elements under exposure</w:t>
            </w:r>
          </w:p>
        </w:tc>
      </w:tr>
      <w:tr w:rsidR="00A93E89" w:rsidRPr="00A93E89" w14:paraId="21300146" w14:textId="77777777" w:rsidTr="006F3951">
        <w:trPr>
          <w:cantSplit/>
          <w:trHeight w:val="1134"/>
        </w:trPr>
        <w:tc>
          <w:tcPr>
            <w:tcW w:w="4503" w:type="dxa"/>
            <w:shd w:val="clear" w:color="auto" w:fill="auto"/>
            <w:vAlign w:val="center"/>
          </w:tcPr>
          <w:p w14:paraId="3447B50C" w14:textId="77777777" w:rsidR="00A93E89" w:rsidRPr="006F3951" w:rsidRDefault="00A93E89" w:rsidP="00466F95">
            <w:pPr>
              <w:pStyle w:val="tableheading"/>
              <w:jc w:val="center"/>
            </w:pPr>
            <w:r w:rsidRPr="006F3951">
              <w:t>Capacity</w:t>
            </w:r>
          </w:p>
        </w:tc>
        <w:tc>
          <w:tcPr>
            <w:tcW w:w="5125" w:type="dxa"/>
            <w:shd w:val="clear" w:color="auto" w:fill="auto"/>
            <w:vAlign w:val="center"/>
          </w:tcPr>
          <w:p w14:paraId="3DF9549E" w14:textId="77777777" w:rsidR="00A93E89" w:rsidRPr="00A93E89" w:rsidRDefault="00A93E89" w:rsidP="009D7027">
            <w:pPr>
              <w:pStyle w:val="table"/>
            </w:pPr>
            <w:r w:rsidRPr="00A93E89">
              <w:t>Capacity is the combination of all strengths, attributes and resources within a hazard location which enhance resistance against shocks and which can be used to recover from shocks. Capacity may entail: human, physical, natural, economic and social capital</w:t>
            </w:r>
          </w:p>
        </w:tc>
      </w:tr>
      <w:tr w:rsidR="00A93E89" w:rsidRPr="00A93E89" w14:paraId="6D8670D2" w14:textId="77777777" w:rsidTr="006F3951">
        <w:trPr>
          <w:cantSplit/>
          <w:trHeight w:val="1134"/>
        </w:trPr>
        <w:tc>
          <w:tcPr>
            <w:tcW w:w="4503" w:type="dxa"/>
            <w:shd w:val="clear" w:color="auto" w:fill="auto"/>
            <w:vAlign w:val="center"/>
          </w:tcPr>
          <w:p w14:paraId="49ADA608" w14:textId="77777777" w:rsidR="00A93E89" w:rsidRPr="006F3951" w:rsidRDefault="00A93E89" w:rsidP="00466F95">
            <w:pPr>
              <w:pStyle w:val="tableheading"/>
              <w:jc w:val="center"/>
            </w:pPr>
            <w:r w:rsidRPr="006F3951">
              <w:t>Disaster Risk Reduction</w:t>
            </w:r>
          </w:p>
        </w:tc>
        <w:tc>
          <w:tcPr>
            <w:tcW w:w="5125" w:type="dxa"/>
            <w:shd w:val="clear" w:color="auto" w:fill="auto"/>
            <w:vAlign w:val="center"/>
          </w:tcPr>
          <w:p w14:paraId="25C76550" w14:textId="77777777" w:rsidR="00A93E89" w:rsidRPr="00A93E89" w:rsidRDefault="00A93E89" w:rsidP="009D7027">
            <w:pPr>
              <w:pStyle w:val="table"/>
            </w:pPr>
            <w:r w:rsidRPr="00A93E89">
              <w:t>The concept and practice of reducing disaster risks through systematic efforts to analyse and manage the causal factors of disasters, including through reduced exposure to hazards, lessened vulnerability of people and property, wise management of land and the environment, and improved preparedness for adverse events (DRR Terminology, UNISDR 2009)</w:t>
            </w:r>
          </w:p>
        </w:tc>
      </w:tr>
      <w:tr w:rsidR="00A93E89" w:rsidRPr="00A93E89" w14:paraId="73949C66" w14:textId="77777777" w:rsidTr="006F3951">
        <w:trPr>
          <w:cantSplit/>
          <w:trHeight w:val="1134"/>
        </w:trPr>
        <w:tc>
          <w:tcPr>
            <w:tcW w:w="4503" w:type="dxa"/>
            <w:shd w:val="clear" w:color="auto" w:fill="auto"/>
            <w:vAlign w:val="center"/>
          </w:tcPr>
          <w:p w14:paraId="59A3226C" w14:textId="77777777" w:rsidR="00A93E89" w:rsidRPr="006F3951" w:rsidRDefault="00A93E89" w:rsidP="00466F95">
            <w:pPr>
              <w:pStyle w:val="tableheading"/>
              <w:jc w:val="center"/>
            </w:pPr>
            <w:r w:rsidRPr="006F3951">
              <w:t>Disaster Risk Formula</w:t>
            </w:r>
          </w:p>
        </w:tc>
        <w:tc>
          <w:tcPr>
            <w:tcW w:w="5125" w:type="dxa"/>
            <w:shd w:val="clear" w:color="auto" w:fill="auto"/>
            <w:vAlign w:val="center"/>
          </w:tcPr>
          <w:p w14:paraId="626C6612" w14:textId="77777777" w:rsidR="00A93E89" w:rsidRPr="00A93E89" w:rsidRDefault="006D149B" w:rsidP="006F3951">
            <w:pPr>
              <w:pStyle w:val="table"/>
              <w:tabs>
                <w:tab w:val="left" w:pos="2160"/>
              </w:tabs>
            </w:pPr>
            <w:r>
              <w:t xml:space="preserve">Disaster Risk = </w:t>
            </w:r>
            <w:r w:rsidRPr="006F3951">
              <w:rPr>
                <w:u w:val="single"/>
              </w:rPr>
              <w:t>Hazard * Vulnerability</w:t>
            </w:r>
            <w:r w:rsidRPr="006F3951">
              <w:rPr>
                <w:u w:val="single"/>
              </w:rPr>
              <w:br/>
            </w:r>
            <w:r>
              <w:tab/>
              <w:t>Capacity</w:t>
            </w:r>
          </w:p>
        </w:tc>
      </w:tr>
      <w:tr w:rsidR="00A93E89" w:rsidRPr="00A93E89" w14:paraId="53B25CD7" w14:textId="77777777" w:rsidTr="006F3951">
        <w:trPr>
          <w:cantSplit/>
          <w:trHeight w:val="1134"/>
        </w:trPr>
        <w:tc>
          <w:tcPr>
            <w:tcW w:w="4503" w:type="dxa"/>
            <w:shd w:val="clear" w:color="auto" w:fill="auto"/>
            <w:vAlign w:val="center"/>
          </w:tcPr>
          <w:p w14:paraId="2740E96C" w14:textId="77777777" w:rsidR="00A93E89" w:rsidRPr="006F3951" w:rsidRDefault="00A93E89" w:rsidP="00466F95">
            <w:pPr>
              <w:pStyle w:val="tableheading"/>
              <w:jc w:val="center"/>
            </w:pPr>
            <w:r w:rsidRPr="006F3951">
              <w:t>Vulnerability and Capacity Assessment</w:t>
            </w:r>
          </w:p>
        </w:tc>
        <w:tc>
          <w:tcPr>
            <w:tcW w:w="5125" w:type="dxa"/>
            <w:shd w:val="clear" w:color="auto" w:fill="auto"/>
            <w:vAlign w:val="center"/>
          </w:tcPr>
          <w:p w14:paraId="00478B29" w14:textId="77777777" w:rsidR="00A93E89" w:rsidRPr="00A93E89" w:rsidRDefault="00A93E89" w:rsidP="009D7027">
            <w:pPr>
              <w:pStyle w:val="table"/>
            </w:pPr>
            <w:r w:rsidRPr="00A93E89">
              <w:t>A process to identify the vulnerabilities that are susceptible to the damaging effects of a hazard or a disaster and the existing capacity which can be exploited to enhance resilience to hazards</w:t>
            </w:r>
          </w:p>
        </w:tc>
      </w:tr>
      <w:tr w:rsidR="00A93E89" w:rsidRPr="00A93E89" w14:paraId="3722EE94" w14:textId="77777777" w:rsidTr="006F3951">
        <w:trPr>
          <w:cantSplit/>
          <w:trHeight w:val="1134"/>
        </w:trPr>
        <w:tc>
          <w:tcPr>
            <w:tcW w:w="4503" w:type="dxa"/>
            <w:shd w:val="clear" w:color="auto" w:fill="auto"/>
            <w:vAlign w:val="center"/>
          </w:tcPr>
          <w:p w14:paraId="7CA07FBE" w14:textId="77777777" w:rsidR="00A93E89" w:rsidRPr="006F3951" w:rsidRDefault="00A93E89" w:rsidP="00466F95">
            <w:pPr>
              <w:pStyle w:val="tableheading"/>
              <w:jc w:val="center"/>
            </w:pPr>
            <w:r w:rsidRPr="006F3951">
              <w:lastRenderedPageBreak/>
              <w:t>Disaster Risk Management</w:t>
            </w:r>
          </w:p>
        </w:tc>
        <w:tc>
          <w:tcPr>
            <w:tcW w:w="5125" w:type="dxa"/>
            <w:shd w:val="clear" w:color="auto" w:fill="auto"/>
            <w:vAlign w:val="center"/>
          </w:tcPr>
          <w:p w14:paraId="345189DF" w14:textId="77777777" w:rsidR="00A93E89" w:rsidRPr="00A93E89" w:rsidRDefault="00A93E89" w:rsidP="009D7027">
            <w:pPr>
              <w:pStyle w:val="table"/>
            </w:pPr>
            <w:r w:rsidRPr="00A93E89">
              <w:t>The systematic process of using administrative directives, organizations, and operational skills and capacities to implement strategies, policies and improved coping capacities in order to lessen the adverse impacts of hazards and the possibility of disaster (DRR Terminology, UNISDR 2009)</w:t>
            </w:r>
          </w:p>
        </w:tc>
      </w:tr>
      <w:tr w:rsidR="00A93E89" w:rsidRPr="00A93E89" w14:paraId="6FBAB30C" w14:textId="77777777" w:rsidTr="006F3951">
        <w:trPr>
          <w:cantSplit/>
          <w:trHeight w:val="1134"/>
        </w:trPr>
        <w:tc>
          <w:tcPr>
            <w:tcW w:w="4503" w:type="dxa"/>
            <w:shd w:val="clear" w:color="auto" w:fill="auto"/>
            <w:vAlign w:val="center"/>
          </w:tcPr>
          <w:p w14:paraId="522770F1" w14:textId="77777777" w:rsidR="00A93E89" w:rsidRPr="006F3951" w:rsidRDefault="00A93E89" w:rsidP="00466F95">
            <w:pPr>
              <w:pStyle w:val="tableheading"/>
              <w:jc w:val="center"/>
            </w:pPr>
            <w:r w:rsidRPr="006F3951">
              <w:t>Resilience</w:t>
            </w:r>
          </w:p>
        </w:tc>
        <w:tc>
          <w:tcPr>
            <w:tcW w:w="5125" w:type="dxa"/>
            <w:shd w:val="clear" w:color="auto" w:fill="auto"/>
            <w:vAlign w:val="center"/>
          </w:tcPr>
          <w:p w14:paraId="4E24AAD6" w14:textId="77777777" w:rsidR="00A93E89" w:rsidRPr="00A93E89" w:rsidRDefault="00A93E89" w:rsidP="009D7027">
            <w:pPr>
              <w:pStyle w:val="table"/>
            </w:pPr>
            <w:r w:rsidRPr="00A93E89">
              <w:t>Resilience is the ability of households, communities and nations to absorb and recover from shocks, whilst positively adapting and transforming their structures and means for living in the face of long-term stresses, change and uncertainty (OECD 2013)</w:t>
            </w:r>
          </w:p>
        </w:tc>
      </w:tr>
      <w:tr w:rsidR="00A93E89" w:rsidRPr="00A93E89" w14:paraId="5B03C62E" w14:textId="77777777" w:rsidTr="006F3951">
        <w:trPr>
          <w:cantSplit/>
          <w:trHeight w:val="1134"/>
        </w:trPr>
        <w:tc>
          <w:tcPr>
            <w:tcW w:w="4503" w:type="dxa"/>
            <w:shd w:val="clear" w:color="auto" w:fill="auto"/>
            <w:vAlign w:val="center"/>
          </w:tcPr>
          <w:p w14:paraId="6873D55C" w14:textId="77777777" w:rsidR="00A93E89" w:rsidRPr="006F3951" w:rsidRDefault="00A93E89" w:rsidP="00466F95">
            <w:pPr>
              <w:pStyle w:val="tableheading"/>
              <w:jc w:val="center"/>
            </w:pPr>
            <w:r w:rsidRPr="006F3951">
              <w:t>Absorptive Capacity</w:t>
            </w:r>
          </w:p>
        </w:tc>
        <w:tc>
          <w:tcPr>
            <w:tcW w:w="5125" w:type="dxa"/>
            <w:shd w:val="clear" w:color="auto" w:fill="auto"/>
            <w:vAlign w:val="center"/>
          </w:tcPr>
          <w:p w14:paraId="3ECD09F5" w14:textId="77777777" w:rsidR="00A93E89" w:rsidRPr="00A93E89" w:rsidRDefault="00A93E89" w:rsidP="009D7027">
            <w:pPr>
              <w:pStyle w:val="table"/>
            </w:pPr>
            <w:r w:rsidRPr="00A93E89">
              <w:t>The ability of a system to prepare for, mitigate or prevent the impacts of negative events using predetermined coping responses in order to preserve and restore essential basic structures and functions (OECD 2013)</w:t>
            </w:r>
          </w:p>
        </w:tc>
      </w:tr>
      <w:tr w:rsidR="00A93E89" w:rsidRPr="00A93E89" w14:paraId="4C0BAE71" w14:textId="77777777" w:rsidTr="006F3951">
        <w:trPr>
          <w:cantSplit/>
          <w:trHeight w:val="1134"/>
        </w:trPr>
        <w:tc>
          <w:tcPr>
            <w:tcW w:w="4503" w:type="dxa"/>
            <w:shd w:val="clear" w:color="auto" w:fill="auto"/>
            <w:vAlign w:val="center"/>
          </w:tcPr>
          <w:p w14:paraId="3AD6CC2C" w14:textId="77777777" w:rsidR="00A93E89" w:rsidRPr="006F3951" w:rsidRDefault="00A93E89" w:rsidP="00466F95">
            <w:pPr>
              <w:pStyle w:val="tableheading"/>
              <w:jc w:val="center"/>
            </w:pPr>
            <w:r w:rsidRPr="006F3951">
              <w:t>Adaptive Capacity</w:t>
            </w:r>
          </w:p>
        </w:tc>
        <w:tc>
          <w:tcPr>
            <w:tcW w:w="5125" w:type="dxa"/>
            <w:shd w:val="clear" w:color="auto" w:fill="auto"/>
            <w:vAlign w:val="center"/>
          </w:tcPr>
          <w:p w14:paraId="5D637851" w14:textId="77777777" w:rsidR="00A93E89" w:rsidRPr="00A93E89" w:rsidRDefault="00A93E89" w:rsidP="009D7027">
            <w:pPr>
              <w:pStyle w:val="table"/>
            </w:pPr>
            <w:r w:rsidRPr="00A93E89">
              <w:t>The ability of a system to adjust, modify or change its characteristics and actions to moderate potential, future damage and to take advantage of opportunities, all in order to continue functioning without major qualitative changes in function or structural identity (OECD 2013)</w:t>
            </w:r>
          </w:p>
        </w:tc>
      </w:tr>
      <w:tr w:rsidR="00A93E89" w:rsidRPr="00A93E89" w14:paraId="6A398A21" w14:textId="77777777" w:rsidTr="006F3951">
        <w:trPr>
          <w:cantSplit/>
          <w:trHeight w:val="1134"/>
        </w:trPr>
        <w:tc>
          <w:tcPr>
            <w:tcW w:w="4503" w:type="dxa"/>
            <w:shd w:val="clear" w:color="auto" w:fill="auto"/>
            <w:vAlign w:val="center"/>
          </w:tcPr>
          <w:p w14:paraId="772FF7EB" w14:textId="77777777" w:rsidR="00A93E89" w:rsidRPr="006F3951" w:rsidRDefault="00A93E89" w:rsidP="00466F95">
            <w:pPr>
              <w:pStyle w:val="tableheading"/>
              <w:jc w:val="center"/>
            </w:pPr>
            <w:r w:rsidRPr="006F3951">
              <w:t>Transformative Capacity</w:t>
            </w:r>
          </w:p>
        </w:tc>
        <w:tc>
          <w:tcPr>
            <w:tcW w:w="5125" w:type="dxa"/>
            <w:shd w:val="clear" w:color="auto" w:fill="auto"/>
            <w:vAlign w:val="center"/>
          </w:tcPr>
          <w:p w14:paraId="0646EE88" w14:textId="77777777" w:rsidR="00A93E89" w:rsidRPr="00A93E89" w:rsidRDefault="00A93E89" w:rsidP="009D7027">
            <w:pPr>
              <w:pStyle w:val="table"/>
            </w:pPr>
            <w:r w:rsidRPr="00A93E89">
              <w:t>The ability to create a fundamentally new system when ecological, economic or social structures make the existing system untenable (OECD 2013)</w:t>
            </w:r>
          </w:p>
        </w:tc>
      </w:tr>
    </w:tbl>
    <w:p w14:paraId="3C751311" w14:textId="77777777" w:rsidR="00A93E89" w:rsidRDefault="006D149B" w:rsidP="00F51600">
      <w:pPr>
        <w:pStyle w:val="Heading4"/>
      </w:pPr>
      <w:r w:rsidRPr="006D149B">
        <w:lastRenderedPageBreak/>
        <w:t>Guidance on where to find information in the Handbook for each group</w:t>
      </w:r>
    </w:p>
    <w:tbl>
      <w:tblPr>
        <w:tblW w:w="0" w:type="auto"/>
        <w:tblBorders>
          <w:top w:val="dashed" w:sz="4" w:space="0" w:color="579305" w:themeColor="accent1"/>
          <w:left w:val="dashed" w:sz="4" w:space="0" w:color="579305" w:themeColor="accent1"/>
          <w:bottom w:val="dashed" w:sz="4" w:space="0" w:color="579305" w:themeColor="accent1"/>
          <w:right w:val="dashed" w:sz="4" w:space="0" w:color="579305" w:themeColor="accent1"/>
          <w:insideH w:val="dashed" w:sz="4" w:space="0" w:color="579305" w:themeColor="accent1"/>
          <w:insideV w:val="dashed" w:sz="4" w:space="0" w:color="579305" w:themeColor="accent1"/>
        </w:tblBorders>
        <w:tblLook w:val="04A0" w:firstRow="1" w:lastRow="0" w:firstColumn="1" w:lastColumn="0" w:noHBand="0" w:noVBand="1"/>
      </w:tblPr>
      <w:tblGrid>
        <w:gridCol w:w="2129"/>
        <w:gridCol w:w="7273"/>
      </w:tblGrid>
      <w:tr w:rsidR="00C7602D" w:rsidRPr="00A93E89" w14:paraId="3B2735AB" w14:textId="77777777" w:rsidTr="00C4000B">
        <w:trPr>
          <w:cantSplit/>
          <w:tblHeader/>
        </w:trPr>
        <w:tc>
          <w:tcPr>
            <w:tcW w:w="1548" w:type="dxa"/>
            <w:shd w:val="clear" w:color="auto" w:fill="E9F7CB"/>
          </w:tcPr>
          <w:p w14:paraId="72694F69" w14:textId="77777777" w:rsidR="006D149B" w:rsidRPr="006F3951" w:rsidRDefault="006D149B" w:rsidP="006F3951">
            <w:pPr>
              <w:pStyle w:val="tableheading"/>
              <w:spacing w:before="80" w:after="80"/>
            </w:pPr>
            <w:r w:rsidRPr="006F3951">
              <w:t>Group</w:t>
            </w:r>
          </w:p>
        </w:tc>
        <w:tc>
          <w:tcPr>
            <w:tcW w:w="8022" w:type="dxa"/>
            <w:shd w:val="clear" w:color="auto" w:fill="E9F7CB"/>
          </w:tcPr>
          <w:p w14:paraId="4D185FFC" w14:textId="77777777" w:rsidR="006D149B" w:rsidRPr="006F3951" w:rsidRDefault="006D149B" w:rsidP="006F3951">
            <w:pPr>
              <w:pStyle w:val="tableheading"/>
              <w:spacing w:before="80" w:after="80"/>
            </w:pPr>
            <w:r w:rsidRPr="006F3951">
              <w:t>Reference</w:t>
            </w:r>
          </w:p>
        </w:tc>
      </w:tr>
      <w:tr w:rsidR="006D149B" w:rsidRPr="00A93E89" w14:paraId="6B739944" w14:textId="77777777" w:rsidTr="00F042DD">
        <w:trPr>
          <w:cantSplit/>
          <w:trHeight w:val="1588"/>
        </w:trPr>
        <w:tc>
          <w:tcPr>
            <w:tcW w:w="1548" w:type="dxa"/>
            <w:shd w:val="clear" w:color="auto" w:fill="auto"/>
            <w:vAlign w:val="center"/>
          </w:tcPr>
          <w:p w14:paraId="6A42A2E8" w14:textId="77777777" w:rsidR="006D149B" w:rsidRPr="006F3951" w:rsidRDefault="006D149B" w:rsidP="006F3951">
            <w:pPr>
              <w:pStyle w:val="tableheading"/>
              <w:spacing w:before="80" w:after="80"/>
            </w:pPr>
            <w:r w:rsidRPr="006F3951">
              <w:t>Mitigation and Prevention</w:t>
            </w:r>
          </w:p>
        </w:tc>
        <w:tc>
          <w:tcPr>
            <w:tcW w:w="8022" w:type="dxa"/>
            <w:shd w:val="clear" w:color="auto" w:fill="auto"/>
            <w:vAlign w:val="center"/>
          </w:tcPr>
          <w:p w14:paraId="7FDCC5B4" w14:textId="77777777" w:rsidR="002A2DC4" w:rsidRDefault="006D149B" w:rsidP="002A2DC4">
            <w:pPr>
              <w:pStyle w:val="tablebullet"/>
              <w:numPr>
                <w:ilvl w:val="0"/>
                <w:numId w:val="0"/>
              </w:numPr>
              <w:spacing w:before="80" w:after="80"/>
              <w:ind w:left="284" w:hanging="284"/>
            </w:pPr>
            <w:r w:rsidRPr="006D149B">
              <w:t xml:space="preserve">Examples of how Sphere provides </w:t>
            </w:r>
            <w:r w:rsidR="002A2DC4">
              <w:t>guidance on mitigation and</w:t>
            </w:r>
          </w:p>
          <w:p w14:paraId="19708A8E" w14:textId="10A4083D" w:rsidR="006D149B" w:rsidRPr="006D149B" w:rsidRDefault="006D149B" w:rsidP="002A2DC4">
            <w:pPr>
              <w:pStyle w:val="tablebullet"/>
              <w:numPr>
                <w:ilvl w:val="0"/>
                <w:numId w:val="0"/>
              </w:numPr>
              <w:spacing w:before="80" w:after="80"/>
              <w:ind w:left="284" w:hanging="284"/>
            </w:pPr>
            <w:r w:rsidRPr="006D149B">
              <w:t>prevention</w:t>
            </w:r>
          </w:p>
          <w:p w14:paraId="0D802F1F" w14:textId="77777777" w:rsidR="006D149B" w:rsidRPr="006D149B" w:rsidRDefault="006D149B" w:rsidP="006F3951">
            <w:pPr>
              <w:pStyle w:val="tablebullet"/>
              <w:spacing w:before="80" w:after="80"/>
            </w:pPr>
            <w:r w:rsidRPr="006D149B">
              <w:t>p.21 Humanitarian Charter</w:t>
            </w:r>
          </w:p>
          <w:p w14:paraId="099C8152" w14:textId="77777777" w:rsidR="006D149B" w:rsidRPr="006D149B" w:rsidRDefault="006D149B" w:rsidP="006F3951">
            <w:pPr>
              <w:pStyle w:val="tablebullet"/>
              <w:spacing w:before="80" w:after="80"/>
            </w:pPr>
            <w:r w:rsidRPr="006D149B">
              <w:t>Protection Principles 1 and 3</w:t>
            </w:r>
          </w:p>
          <w:p w14:paraId="5419DE16" w14:textId="77777777" w:rsidR="006D149B" w:rsidRPr="006D149B" w:rsidRDefault="006D149B" w:rsidP="006F3951">
            <w:pPr>
              <w:pStyle w:val="tablebullet"/>
              <w:spacing w:before="80" w:after="80"/>
            </w:pPr>
            <w:r w:rsidRPr="006D149B">
              <w:t>Cross-cutting theme ‘Disaster Risk Reduction’</w:t>
            </w:r>
            <w:r w:rsidR="00C7602D">
              <w:t>, p.14</w:t>
            </w:r>
          </w:p>
          <w:p w14:paraId="7F69CDC7" w14:textId="0ACC0BBB" w:rsidR="006D149B" w:rsidRPr="006D149B" w:rsidRDefault="006D149B" w:rsidP="006F3951">
            <w:pPr>
              <w:pStyle w:val="tablebullet"/>
              <w:spacing w:before="80" w:after="80"/>
            </w:pPr>
            <w:r w:rsidRPr="006D149B">
              <w:t>Technical chapters: W</w:t>
            </w:r>
            <w:r w:rsidR="002708FC">
              <w:t>ASH, p.88; Guidance note 4, p.98</w:t>
            </w:r>
            <w:r w:rsidRPr="006D149B">
              <w:t>; Vector Control Standard 1, p.111</w:t>
            </w:r>
          </w:p>
          <w:p w14:paraId="190838B1" w14:textId="77777777" w:rsidR="006D149B" w:rsidRPr="006D149B" w:rsidRDefault="006D149B" w:rsidP="006F3951">
            <w:pPr>
              <w:pStyle w:val="tablebullet"/>
              <w:spacing w:before="80" w:after="80"/>
            </w:pPr>
            <w:r w:rsidRPr="006D149B">
              <w:t>p.172 Nutrition</w:t>
            </w:r>
          </w:p>
        </w:tc>
      </w:tr>
      <w:tr w:rsidR="006D149B" w:rsidRPr="00A93E89" w14:paraId="49A7EEE0" w14:textId="77777777" w:rsidTr="00F042DD">
        <w:trPr>
          <w:cantSplit/>
          <w:trHeight w:val="1588"/>
        </w:trPr>
        <w:tc>
          <w:tcPr>
            <w:tcW w:w="1548" w:type="dxa"/>
            <w:shd w:val="clear" w:color="auto" w:fill="auto"/>
            <w:vAlign w:val="center"/>
          </w:tcPr>
          <w:p w14:paraId="4CCBC408" w14:textId="53997769" w:rsidR="006D149B" w:rsidRPr="006F3951" w:rsidRDefault="006D149B" w:rsidP="006F3951">
            <w:pPr>
              <w:pStyle w:val="tableheading"/>
              <w:spacing w:before="80" w:after="80"/>
            </w:pPr>
            <w:r w:rsidRPr="006F3951">
              <w:t>Preparedness</w:t>
            </w:r>
          </w:p>
        </w:tc>
        <w:tc>
          <w:tcPr>
            <w:tcW w:w="8022" w:type="dxa"/>
            <w:shd w:val="clear" w:color="auto" w:fill="auto"/>
            <w:vAlign w:val="center"/>
          </w:tcPr>
          <w:p w14:paraId="402C4A56" w14:textId="77777777" w:rsidR="006D149B" w:rsidRPr="006D149B" w:rsidRDefault="006D149B" w:rsidP="006F3951">
            <w:pPr>
              <w:pStyle w:val="tablebullet"/>
              <w:spacing w:before="80" w:after="80"/>
            </w:pPr>
            <w:r w:rsidRPr="006D149B">
              <w:t>p.5 and 10 Introduction</w:t>
            </w:r>
          </w:p>
          <w:p w14:paraId="7E2CA080" w14:textId="77777777" w:rsidR="006D149B" w:rsidRPr="006D149B" w:rsidRDefault="006D149B" w:rsidP="006F3951">
            <w:pPr>
              <w:pStyle w:val="tablebullet"/>
              <w:spacing w:before="80" w:after="80"/>
            </w:pPr>
            <w:r w:rsidRPr="006D149B">
              <w:t>p.14 Cross-cutting theme, Disaster Risk Reduction</w:t>
            </w:r>
          </w:p>
          <w:p w14:paraId="111657D9" w14:textId="77777777" w:rsidR="006D149B" w:rsidRPr="006D149B" w:rsidRDefault="006D149B" w:rsidP="006F3951">
            <w:pPr>
              <w:pStyle w:val="tablebullet"/>
              <w:spacing w:before="80" w:after="80"/>
            </w:pPr>
            <w:r w:rsidRPr="006D149B">
              <w:t>p.54 Vulnerability</w:t>
            </w:r>
          </w:p>
          <w:p w14:paraId="2134D15D" w14:textId="38C9760F" w:rsidR="006D149B" w:rsidRPr="006D149B" w:rsidRDefault="005E2F1D" w:rsidP="005E2F1D">
            <w:pPr>
              <w:pStyle w:val="tablebullet"/>
              <w:spacing w:before="80" w:after="80"/>
            </w:pPr>
            <w:r>
              <w:t>CHS Guidance Notes and Indicators: 2.6, and 2.7; Commitment 3; Commitment 8.4 and Annex 1 pf 38</w:t>
            </w:r>
          </w:p>
          <w:p w14:paraId="025092BD" w14:textId="77777777" w:rsidR="006D149B" w:rsidRPr="006D149B" w:rsidRDefault="006D149B" w:rsidP="006F3951">
            <w:pPr>
              <w:pStyle w:val="tablebullet"/>
              <w:spacing w:before="80" w:after="80"/>
            </w:pPr>
            <w:r w:rsidRPr="006D149B">
              <w:t>p.80 and 85, repeated in the introduction to each technical chapter</w:t>
            </w:r>
          </w:p>
          <w:p w14:paraId="681A07BE" w14:textId="77777777" w:rsidR="006D149B" w:rsidRPr="006D149B" w:rsidRDefault="006D149B" w:rsidP="006F3951">
            <w:pPr>
              <w:pStyle w:val="tablebullet"/>
              <w:spacing w:before="80" w:after="80"/>
            </w:pPr>
            <w:r w:rsidRPr="006D149B">
              <w:t>p.316 Health</w:t>
            </w:r>
          </w:p>
        </w:tc>
      </w:tr>
      <w:tr w:rsidR="006D149B" w:rsidRPr="00A93E89" w14:paraId="2E755880" w14:textId="77777777" w:rsidTr="00F042DD">
        <w:trPr>
          <w:cantSplit/>
          <w:trHeight w:val="1588"/>
        </w:trPr>
        <w:tc>
          <w:tcPr>
            <w:tcW w:w="1548" w:type="dxa"/>
            <w:shd w:val="clear" w:color="auto" w:fill="auto"/>
            <w:vAlign w:val="center"/>
          </w:tcPr>
          <w:p w14:paraId="4A83D29A" w14:textId="77777777" w:rsidR="006D149B" w:rsidRPr="00CE4A24" w:rsidRDefault="006D149B" w:rsidP="006F3951">
            <w:pPr>
              <w:pStyle w:val="tableheading"/>
              <w:spacing w:before="80" w:after="80"/>
            </w:pPr>
            <w:r w:rsidRPr="00CE4A24">
              <w:t>Prediction and Early Warning</w:t>
            </w:r>
          </w:p>
        </w:tc>
        <w:tc>
          <w:tcPr>
            <w:tcW w:w="8022" w:type="dxa"/>
            <w:shd w:val="clear" w:color="auto" w:fill="auto"/>
            <w:vAlign w:val="center"/>
          </w:tcPr>
          <w:p w14:paraId="3E3345DF" w14:textId="157D947B" w:rsidR="006D149B" w:rsidRPr="005E2F1D" w:rsidRDefault="005E2F1D" w:rsidP="006F3951">
            <w:pPr>
              <w:pStyle w:val="tablebullet"/>
              <w:spacing w:before="80" w:after="80"/>
            </w:pPr>
            <w:bookmarkStart w:id="0" w:name="_GoBack"/>
            <w:bookmarkEnd w:id="0"/>
            <w:r w:rsidRPr="005E2F1D">
              <w:t>CHS Guidance notes and indicators: Commitment 2.2</w:t>
            </w:r>
          </w:p>
          <w:p w14:paraId="500C5361" w14:textId="77777777" w:rsidR="006D149B" w:rsidRPr="00CE4A24" w:rsidRDefault="006D149B" w:rsidP="006F3951">
            <w:pPr>
              <w:pStyle w:val="tablebullet"/>
              <w:spacing w:before="80" w:after="80"/>
            </w:pPr>
            <w:r w:rsidRPr="00CE4A24">
              <w:t>p.85 Technical chapter, WASH, repeated in the introduction to each technical chapter</w:t>
            </w:r>
          </w:p>
          <w:p w14:paraId="03E78224" w14:textId="77777777" w:rsidR="006D149B" w:rsidRPr="00CE4A24" w:rsidRDefault="006D149B" w:rsidP="006F3951">
            <w:pPr>
              <w:pStyle w:val="tablebullet"/>
              <w:spacing w:before="80" w:after="80"/>
            </w:pPr>
            <w:r w:rsidRPr="00CE4A24">
              <w:t>p.152 Food Security; p.155 Guidance note 1, Nutrition</w:t>
            </w:r>
          </w:p>
          <w:p w14:paraId="637840A5" w14:textId="77777777" w:rsidR="006D149B" w:rsidRPr="00CE4A24" w:rsidRDefault="006D149B" w:rsidP="006F3951">
            <w:pPr>
              <w:pStyle w:val="tablebullet"/>
              <w:spacing w:before="80" w:after="80"/>
            </w:pPr>
            <w:r w:rsidRPr="00CE4A24">
              <w:t>p.305 on Health Information Management</w:t>
            </w:r>
          </w:p>
          <w:p w14:paraId="1754E22B" w14:textId="77777777" w:rsidR="006D149B" w:rsidRPr="00CE4A24" w:rsidRDefault="006D149B" w:rsidP="006F3951">
            <w:pPr>
              <w:pStyle w:val="tablebullet"/>
              <w:spacing w:before="80" w:after="80"/>
            </w:pPr>
            <w:r w:rsidRPr="00CE4A24">
              <w:t>p.317 Guidance note on early warning system for outbreak detection</w:t>
            </w:r>
          </w:p>
        </w:tc>
      </w:tr>
      <w:tr w:rsidR="006D149B" w:rsidRPr="00A93E89" w14:paraId="636C33D3" w14:textId="77777777" w:rsidTr="00F042DD">
        <w:trPr>
          <w:cantSplit/>
          <w:trHeight w:val="1588"/>
        </w:trPr>
        <w:tc>
          <w:tcPr>
            <w:tcW w:w="1548" w:type="dxa"/>
            <w:shd w:val="clear" w:color="auto" w:fill="auto"/>
            <w:vAlign w:val="center"/>
          </w:tcPr>
          <w:p w14:paraId="66D0E7E9" w14:textId="77777777" w:rsidR="006D149B" w:rsidRPr="00CE4A24" w:rsidRDefault="006D149B" w:rsidP="006F3951">
            <w:pPr>
              <w:pStyle w:val="tableheading"/>
              <w:spacing w:before="80" w:after="80"/>
            </w:pPr>
            <w:r w:rsidRPr="00CE4A24">
              <w:t>Impact Assessment</w:t>
            </w:r>
          </w:p>
        </w:tc>
        <w:tc>
          <w:tcPr>
            <w:tcW w:w="8022" w:type="dxa"/>
            <w:shd w:val="clear" w:color="auto" w:fill="auto"/>
            <w:vAlign w:val="center"/>
          </w:tcPr>
          <w:p w14:paraId="775DC56F" w14:textId="77777777" w:rsidR="006D149B" w:rsidRPr="00CE4A24" w:rsidRDefault="00C7602D" w:rsidP="00C7602D">
            <w:pPr>
              <w:pStyle w:val="tablebullet"/>
              <w:spacing w:before="80" w:after="80"/>
              <w:rPr>
                <w:i/>
              </w:rPr>
            </w:pPr>
            <w:r w:rsidRPr="00CE4A24">
              <w:rPr>
                <w:i/>
              </w:rPr>
              <w:t>Sphere for</w:t>
            </w:r>
            <w:r w:rsidR="006D149B" w:rsidRPr="00CE4A24">
              <w:rPr>
                <w:i/>
              </w:rPr>
              <w:t xml:space="preserve"> Assessment</w:t>
            </w:r>
            <w:r w:rsidRPr="00CE4A24">
              <w:rPr>
                <w:i/>
              </w:rPr>
              <w:t>s</w:t>
            </w:r>
          </w:p>
        </w:tc>
      </w:tr>
      <w:tr w:rsidR="006D149B" w:rsidRPr="00A93E89" w14:paraId="4E955E97" w14:textId="77777777" w:rsidTr="00F042DD">
        <w:trPr>
          <w:cantSplit/>
          <w:trHeight w:val="1588"/>
        </w:trPr>
        <w:tc>
          <w:tcPr>
            <w:tcW w:w="1548" w:type="dxa"/>
            <w:shd w:val="clear" w:color="auto" w:fill="auto"/>
            <w:vAlign w:val="center"/>
          </w:tcPr>
          <w:p w14:paraId="490D1346" w14:textId="77777777" w:rsidR="006D149B" w:rsidRPr="006F3951" w:rsidRDefault="006D149B" w:rsidP="006F3951">
            <w:pPr>
              <w:pStyle w:val="tableheading"/>
              <w:spacing w:before="80" w:after="80"/>
            </w:pPr>
            <w:r w:rsidRPr="006F3951">
              <w:t>Response</w:t>
            </w:r>
          </w:p>
        </w:tc>
        <w:tc>
          <w:tcPr>
            <w:tcW w:w="8022" w:type="dxa"/>
            <w:shd w:val="clear" w:color="auto" w:fill="auto"/>
            <w:vAlign w:val="center"/>
          </w:tcPr>
          <w:p w14:paraId="15A9344E" w14:textId="77777777" w:rsidR="006D149B" w:rsidRPr="006D149B" w:rsidRDefault="006D149B" w:rsidP="006F3951">
            <w:pPr>
              <w:pStyle w:val="tablebullet"/>
              <w:spacing w:before="80" w:after="80"/>
            </w:pPr>
            <w:r w:rsidRPr="006D149B">
              <w:t>Title of the Handbook</w:t>
            </w:r>
          </w:p>
          <w:p w14:paraId="17485FF1" w14:textId="77777777" w:rsidR="006D149B" w:rsidRPr="006D149B" w:rsidRDefault="006D149B" w:rsidP="006F3951">
            <w:pPr>
              <w:pStyle w:val="tablebullet"/>
              <w:spacing w:before="80" w:after="80"/>
            </w:pPr>
            <w:r w:rsidRPr="006D149B">
              <w:t>Browse through the ‘What is Sphere?’ chapter which highlights different parts of the Sphere Handbook and confirm whether each part mentions the use of the Sphere Handbook for ‘Response’. Pick out a few examples from different parts of the Handbook.</w:t>
            </w:r>
          </w:p>
        </w:tc>
      </w:tr>
      <w:tr w:rsidR="006D149B" w:rsidRPr="00A93E89" w14:paraId="0B64BD4C" w14:textId="77777777" w:rsidTr="00F042DD">
        <w:trPr>
          <w:cantSplit/>
          <w:trHeight w:val="1588"/>
        </w:trPr>
        <w:tc>
          <w:tcPr>
            <w:tcW w:w="1548" w:type="dxa"/>
            <w:shd w:val="clear" w:color="auto" w:fill="auto"/>
            <w:vAlign w:val="center"/>
          </w:tcPr>
          <w:p w14:paraId="535AAFFB" w14:textId="77777777" w:rsidR="006D149B" w:rsidRPr="006F3951" w:rsidRDefault="006D149B" w:rsidP="006F3951">
            <w:pPr>
              <w:pStyle w:val="tableheading"/>
              <w:spacing w:before="80" w:after="80"/>
            </w:pPr>
            <w:r w:rsidRPr="006F3951">
              <w:t>Recovery and Reconstruction</w:t>
            </w:r>
          </w:p>
        </w:tc>
        <w:tc>
          <w:tcPr>
            <w:tcW w:w="8022" w:type="dxa"/>
            <w:shd w:val="clear" w:color="auto" w:fill="auto"/>
            <w:vAlign w:val="center"/>
          </w:tcPr>
          <w:p w14:paraId="591E03F4" w14:textId="77777777" w:rsidR="006D149B" w:rsidRPr="006D149B" w:rsidRDefault="006D149B" w:rsidP="006F3951">
            <w:pPr>
              <w:pStyle w:val="tablebullet"/>
              <w:spacing w:before="80" w:after="80"/>
            </w:pPr>
            <w:r w:rsidRPr="006D149B">
              <w:t>p.10 Introduction</w:t>
            </w:r>
          </w:p>
          <w:p w14:paraId="6F8A8453" w14:textId="77777777" w:rsidR="006D149B" w:rsidRPr="006D149B" w:rsidRDefault="006D149B" w:rsidP="006F3951">
            <w:pPr>
              <w:pStyle w:val="tablebullet"/>
              <w:spacing w:before="80" w:after="80"/>
            </w:pPr>
            <w:r w:rsidRPr="006D149B">
              <w:t>p.68 Early recovery and risk reduction</w:t>
            </w:r>
          </w:p>
          <w:p w14:paraId="46C545A6" w14:textId="77777777" w:rsidR="006D149B" w:rsidRDefault="006D149B" w:rsidP="006F3951">
            <w:pPr>
              <w:pStyle w:val="tablebullet"/>
              <w:spacing w:before="80" w:after="80"/>
            </w:pPr>
            <w:r w:rsidRPr="006D149B">
              <w:t>p.54 Vulnerability</w:t>
            </w:r>
          </w:p>
          <w:p w14:paraId="30035871" w14:textId="31CE78BF" w:rsidR="005E2F1D" w:rsidRPr="006D149B" w:rsidRDefault="005E2F1D" w:rsidP="006F3951">
            <w:pPr>
              <w:pStyle w:val="tablebullet"/>
              <w:spacing w:before="80" w:after="80"/>
            </w:pPr>
            <w:r>
              <w:t>CHS Commitment 3</w:t>
            </w:r>
          </w:p>
        </w:tc>
      </w:tr>
    </w:tbl>
    <w:p w14:paraId="32BEC2B5" w14:textId="77777777" w:rsidR="006D149B" w:rsidRPr="006D149B" w:rsidRDefault="006D149B" w:rsidP="006D149B"/>
    <w:sectPr w:rsidR="006D149B" w:rsidRPr="006D149B" w:rsidSect="00F51600">
      <w:headerReference w:type="even" r:id="rId7"/>
      <w:headerReference w:type="default" r:id="rId8"/>
      <w:footerReference w:type="even" r:id="rId9"/>
      <w:footerReference w:type="default" r:id="rId10"/>
      <w:headerReference w:type="first" r:id="rId11"/>
      <w:footerReference w:type="first" r:id="rId12"/>
      <w:type w:val="continuous"/>
      <w:pgSz w:w="11906" w:h="16838"/>
      <w:pgMar w:top="1418" w:right="1247" w:bottom="851" w:left="1247" w:header="709" w:footer="454"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F31718" w14:textId="77777777" w:rsidR="00020540" w:rsidRDefault="00020540" w:rsidP="002848CC">
      <w:pPr>
        <w:spacing w:before="0"/>
      </w:pPr>
      <w:r>
        <w:separator/>
      </w:r>
    </w:p>
  </w:endnote>
  <w:endnote w:type="continuationSeparator" w:id="0">
    <w:p w14:paraId="35015D85" w14:textId="77777777" w:rsidR="00020540" w:rsidRDefault="00020540" w:rsidP="002848C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PGothic">
    <w:altName w:val="ＭＳ Ｐゴシック"/>
    <w:panose1 w:val="020B0600070205080204"/>
    <w:charset w:val="80"/>
    <w:family w:val="swiss"/>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68DCFE" w14:textId="77777777" w:rsidR="00020540" w:rsidRPr="004F1D9A" w:rsidRDefault="00020540" w:rsidP="00F51600">
    <w:pPr>
      <w:pStyle w:val="Footer"/>
    </w:pPr>
    <w:r w:rsidRPr="00F97BB3">
      <w:t>Module B3: Sphere, Disaster Risk Reduction/Management and resilience. Sphere Training Package 2015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79A0C2" w14:textId="35A83603" w:rsidR="00020540" w:rsidRPr="00F51600" w:rsidRDefault="00020540" w:rsidP="00F51600">
    <w:pPr>
      <w:pStyle w:val="Footer"/>
    </w:pPr>
    <w:r w:rsidRPr="00F51600">
      <w:t>M</w:t>
    </w:r>
    <w:r>
      <w:t xml:space="preserve">odule B3 – </w:t>
    </w:r>
    <w:r w:rsidRPr="00F51600">
      <w:t>Sphere, Disaster Risk Reduc</w:t>
    </w:r>
    <w:r w:rsidR="00CE4A24">
      <w:t>tion/Management and R</w:t>
    </w:r>
    <w:r>
      <w:t>esilience</w:t>
    </w:r>
    <w:r>
      <w:tab/>
    </w:r>
    <w:r w:rsidRPr="00F51600">
      <w:t>Sphere Training Package 2015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2A7A7D" w14:textId="7EF92F46" w:rsidR="00020540" w:rsidRPr="00F51600" w:rsidRDefault="00020540" w:rsidP="00891199">
    <w:pPr>
      <w:pStyle w:val="Footer"/>
    </w:pPr>
    <w:r w:rsidRPr="00F51600">
      <w:t>M</w:t>
    </w:r>
    <w:r>
      <w:t xml:space="preserve">odule B3 – </w:t>
    </w:r>
    <w:r w:rsidRPr="00F51600">
      <w:t>Sphere, Disaster Risk Reduc</w:t>
    </w:r>
    <w:r w:rsidR="00CE4A24">
      <w:t>tion/Management and R</w:t>
    </w:r>
    <w:r>
      <w:t>esilience</w:t>
    </w:r>
    <w:r>
      <w:tab/>
    </w:r>
    <w:r w:rsidRPr="00F51600">
      <w:t>Sphere Training Package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407923" w14:textId="77777777" w:rsidR="00020540" w:rsidRDefault="00020540" w:rsidP="002848CC">
      <w:pPr>
        <w:spacing w:before="0"/>
      </w:pPr>
      <w:r>
        <w:separator/>
      </w:r>
    </w:p>
  </w:footnote>
  <w:footnote w:type="continuationSeparator" w:id="0">
    <w:p w14:paraId="27892321" w14:textId="77777777" w:rsidR="00020540" w:rsidRDefault="00020540" w:rsidP="002848CC">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CE240E" w14:textId="77777777" w:rsidR="00020540" w:rsidRPr="004F1D9A" w:rsidRDefault="00020540" w:rsidP="00891199">
    <w:pPr>
      <w:pStyle w:val="Header"/>
    </w:pPr>
    <w:r w:rsidRPr="007A7ACB">
      <w:t>Handouts</w:t>
    </w:r>
    <w:r>
      <w:tab/>
    </w:r>
    <w:r w:rsidR="00B521E1">
      <w:rPr>
        <w:noProof/>
        <w:position w:val="-20"/>
        <w:lang w:eastAsia="en-GB"/>
      </w:rPr>
      <w:drawing>
        <wp:inline distT="0" distB="0" distL="0" distR="0" wp14:anchorId="3B3F790D" wp14:editId="0D13C89C">
          <wp:extent cx="1854200" cy="381000"/>
          <wp:effectExtent l="0" t="0" r="0" b="0"/>
          <wp:docPr id="1" name="Picture 6" descr="Files:Current Client:Walkgrove:Sphere:Sphere examples and guidelines:Visual_guidelines_and_materials:HANDBOOK ICONS:Sphere-Project-Logo-Landscape-No-Tagline-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iles:Current Client:Walkgrove:Sphere:Sphere examples and guidelines:Visual_guidelines_and_materials:HANDBOOK ICONS:Sphere-Project-Logo-Landscape-No-Tagline-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4200" cy="381000"/>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E3B6A3" w14:textId="77777777" w:rsidR="00020540" w:rsidRPr="00175CA3" w:rsidRDefault="00020540" w:rsidP="00891199">
    <w:pPr>
      <w:pStyle w:val="Header"/>
    </w:pPr>
    <w:r w:rsidRPr="00175CA3">
      <w:t>Handouts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04A029" w14:textId="4AF6CF42" w:rsidR="00020540" w:rsidRPr="003E013F" w:rsidRDefault="00020540" w:rsidP="00F51600">
    <w:pPr>
      <w:pStyle w:val="Heading1"/>
    </w:pPr>
    <w:r w:rsidRPr="00AA469E">
      <w:t xml:space="preserve">Module </w:t>
    </w:r>
    <w:r>
      <w:t xml:space="preserve">B3 – </w:t>
    </w:r>
    <w:r w:rsidRPr="00C820AA">
      <w:t xml:space="preserve">Sphere, Disaster Risk </w:t>
    </w:r>
    <w:r>
      <w:tab/>
    </w:r>
    <w:r w:rsidRPr="00A6569F">
      <w:rPr>
        <w:color w:val="579305"/>
        <w:szCs w:val="24"/>
      </w:rPr>
      <w:t>Handouts</w:t>
    </w:r>
    <w:r>
      <w:br/>
    </w:r>
    <w:r w:rsidR="000F56AF">
      <w:t>Reduction/Management and R</w:t>
    </w:r>
    <w:r w:rsidRPr="00C820AA">
      <w:t>esilience</w:t>
    </w:r>
  </w:p>
  <w:p w14:paraId="44811EBC" w14:textId="77777777" w:rsidR="00020540" w:rsidRPr="00792B8B" w:rsidRDefault="00020540" w:rsidP="006F3951">
    <w:pPr>
      <w:pStyle w:val="Heading2"/>
      <w:pBdr>
        <w:bottom w:val="single" w:sz="4" w:space="4" w:color="004386"/>
      </w:pBdr>
      <w:spacing w:after="0"/>
    </w:pPr>
    <w:r w:rsidRPr="00C820AA">
      <w:t>How can you use Sphere to support Disaster Risk Reduction/Management and strengthen the resilience of the affected population?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7764AAE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B714E7"/>
    <w:multiLevelType w:val="hybridMultilevel"/>
    <w:tmpl w:val="4AD08D6C"/>
    <w:lvl w:ilvl="0" w:tplc="88582482">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15:restartNumberingAfterBreak="0">
    <w:nsid w:val="02082DCA"/>
    <w:multiLevelType w:val="hybridMultilevel"/>
    <w:tmpl w:val="C1EAB630"/>
    <w:lvl w:ilvl="0" w:tplc="97CCFBDE">
      <w:start w:val="1"/>
      <w:numFmt w:val="bullet"/>
      <w:pStyle w:val="subbullet"/>
      <w:lvlText w:val="–"/>
      <w:lvlJc w:val="left"/>
      <w:pPr>
        <w:ind w:left="284" w:hanging="284"/>
      </w:pPr>
      <w:rPr>
        <w:rFonts w:ascii="Times New Roman" w:hAnsi="Times New Roman" w:cs="Times New Roman" w:hint="default"/>
        <w:color w:val="0065A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86210F"/>
    <w:multiLevelType w:val="multilevel"/>
    <w:tmpl w:val="583A294C"/>
    <w:lvl w:ilvl="0">
      <w:start w:val="1"/>
      <w:numFmt w:val="decimal"/>
      <w:lvlText w:val="%1."/>
      <w:lvlJc w:val="left"/>
      <w:pPr>
        <w:ind w:left="708" w:hanging="360"/>
      </w:pPr>
    </w:lvl>
    <w:lvl w:ilvl="1">
      <w:start w:val="1"/>
      <w:numFmt w:val="decimal"/>
      <w:isLgl/>
      <w:lvlText w:val="%1.%2"/>
      <w:lvlJc w:val="left"/>
      <w:pPr>
        <w:ind w:left="735" w:hanging="375"/>
      </w:pPr>
      <w:rPr>
        <w:rFonts w:hint="default"/>
      </w:rPr>
    </w:lvl>
    <w:lvl w:ilvl="2">
      <w:start w:val="1"/>
      <w:numFmt w:val="decimal"/>
      <w:isLgl/>
      <w:lvlText w:val="%1.%2.%3"/>
      <w:lvlJc w:val="left"/>
      <w:pPr>
        <w:ind w:left="1092" w:hanging="720"/>
      </w:pPr>
      <w:rPr>
        <w:rFonts w:hint="default"/>
      </w:rPr>
    </w:lvl>
    <w:lvl w:ilvl="3">
      <w:start w:val="1"/>
      <w:numFmt w:val="decimal"/>
      <w:isLgl/>
      <w:lvlText w:val="%1.%2.%3.%4"/>
      <w:lvlJc w:val="left"/>
      <w:pPr>
        <w:ind w:left="1464" w:hanging="1080"/>
      </w:pPr>
      <w:rPr>
        <w:rFonts w:hint="default"/>
      </w:rPr>
    </w:lvl>
    <w:lvl w:ilvl="4">
      <w:start w:val="1"/>
      <w:numFmt w:val="decimal"/>
      <w:isLgl/>
      <w:lvlText w:val="%1.%2.%3.%4.%5"/>
      <w:lvlJc w:val="left"/>
      <w:pPr>
        <w:ind w:left="1476" w:hanging="1080"/>
      </w:pPr>
      <w:rPr>
        <w:rFonts w:hint="default"/>
      </w:rPr>
    </w:lvl>
    <w:lvl w:ilvl="5">
      <w:start w:val="1"/>
      <w:numFmt w:val="decimal"/>
      <w:isLgl/>
      <w:lvlText w:val="%1.%2.%3.%4.%5.%6"/>
      <w:lvlJc w:val="left"/>
      <w:pPr>
        <w:ind w:left="1848" w:hanging="1440"/>
      </w:pPr>
      <w:rPr>
        <w:rFonts w:hint="default"/>
      </w:rPr>
    </w:lvl>
    <w:lvl w:ilvl="6">
      <w:start w:val="1"/>
      <w:numFmt w:val="decimal"/>
      <w:isLgl/>
      <w:lvlText w:val="%1.%2.%3.%4.%5.%6.%7"/>
      <w:lvlJc w:val="left"/>
      <w:pPr>
        <w:ind w:left="1860" w:hanging="1440"/>
      </w:pPr>
      <w:rPr>
        <w:rFonts w:hint="default"/>
      </w:rPr>
    </w:lvl>
    <w:lvl w:ilvl="7">
      <w:start w:val="1"/>
      <w:numFmt w:val="decimal"/>
      <w:isLgl/>
      <w:lvlText w:val="%1.%2.%3.%4.%5.%6.%7.%8"/>
      <w:lvlJc w:val="left"/>
      <w:pPr>
        <w:ind w:left="2232" w:hanging="1800"/>
      </w:pPr>
      <w:rPr>
        <w:rFonts w:hint="default"/>
      </w:rPr>
    </w:lvl>
    <w:lvl w:ilvl="8">
      <w:start w:val="1"/>
      <w:numFmt w:val="decimal"/>
      <w:isLgl/>
      <w:lvlText w:val="%1.%2.%3.%4.%5.%6.%7.%8.%9"/>
      <w:lvlJc w:val="left"/>
      <w:pPr>
        <w:ind w:left="2604" w:hanging="2160"/>
      </w:pPr>
      <w:rPr>
        <w:rFonts w:hint="default"/>
      </w:rPr>
    </w:lvl>
  </w:abstractNum>
  <w:abstractNum w:abstractNumId="4" w15:restartNumberingAfterBreak="0">
    <w:nsid w:val="0F881074"/>
    <w:multiLevelType w:val="hybridMultilevel"/>
    <w:tmpl w:val="B4024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0D7DD3"/>
    <w:multiLevelType w:val="hybridMultilevel"/>
    <w:tmpl w:val="0DC22FB2"/>
    <w:lvl w:ilvl="0" w:tplc="BD68BE1C">
      <w:start w:val="1"/>
      <w:numFmt w:val="bullet"/>
      <w:pStyle w:val="bullet"/>
      <w:lvlText w:val=""/>
      <w:lvlJc w:val="left"/>
      <w:pPr>
        <w:ind w:left="284" w:hanging="284"/>
      </w:pPr>
      <w:rPr>
        <w:rFonts w:ascii="Symbol" w:hAnsi="Symbol" w:hint="default"/>
        <w:color w:val="00438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25672F"/>
    <w:multiLevelType w:val="hybridMultilevel"/>
    <w:tmpl w:val="5882EF42"/>
    <w:lvl w:ilvl="0" w:tplc="A6F0BB26">
      <w:start w:val="1"/>
      <w:numFmt w:val="bullet"/>
      <w:pStyle w:val="tablebullet"/>
      <w:lvlText w:val=""/>
      <w:lvlJc w:val="left"/>
      <w:pPr>
        <w:ind w:left="0" w:firstLine="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C4385D"/>
    <w:multiLevelType w:val="hybridMultilevel"/>
    <w:tmpl w:val="0916F6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C6B6FA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BF76566"/>
    <w:multiLevelType w:val="hybridMultilevel"/>
    <w:tmpl w:val="9C981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F3452C8"/>
    <w:multiLevelType w:val="hybridMultilevel"/>
    <w:tmpl w:val="25AA2D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1980635"/>
    <w:multiLevelType w:val="multilevel"/>
    <w:tmpl w:val="0DC22FB2"/>
    <w:lvl w:ilvl="0">
      <w:start w:val="1"/>
      <w:numFmt w:val="bullet"/>
      <w:lvlText w:val=""/>
      <w:lvlJc w:val="left"/>
      <w:pPr>
        <w:ind w:left="284" w:hanging="284"/>
      </w:pPr>
      <w:rPr>
        <w:rFonts w:ascii="Symbol" w:hAnsi="Symbol" w:hint="default"/>
        <w:color w:val="004386"/>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78785B9B"/>
    <w:multiLevelType w:val="hybridMultilevel"/>
    <w:tmpl w:val="2AD226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3"/>
  </w:num>
  <w:num w:numId="4">
    <w:abstractNumId w:val="3"/>
  </w:num>
  <w:num w:numId="5">
    <w:abstractNumId w:val="3"/>
  </w:num>
  <w:num w:numId="6">
    <w:abstractNumId w:val="3"/>
  </w:num>
  <w:num w:numId="7">
    <w:abstractNumId w:val="1"/>
  </w:num>
  <w:num w:numId="8">
    <w:abstractNumId w:val="12"/>
  </w:num>
  <w:num w:numId="9">
    <w:abstractNumId w:val="7"/>
  </w:num>
  <w:num w:numId="10">
    <w:abstractNumId w:val="10"/>
  </w:num>
  <w:num w:numId="11">
    <w:abstractNumId w:val="4"/>
  </w:num>
  <w:num w:numId="12">
    <w:abstractNumId w:val="9"/>
  </w:num>
  <w:num w:numId="13">
    <w:abstractNumId w:val="8"/>
  </w:num>
  <w:num w:numId="14">
    <w:abstractNumId w:val="5"/>
  </w:num>
  <w:num w:numId="15">
    <w:abstractNumId w:val="6"/>
  </w:num>
  <w:num w:numId="16">
    <w:abstractNumId w:val="5"/>
  </w:num>
  <w:num w:numId="17">
    <w:abstractNumId w:val="6"/>
  </w:num>
  <w:num w:numId="18">
    <w:abstractNumId w:val="11"/>
  </w:num>
  <w:num w:numId="19">
    <w:abstractNumId w:val="2"/>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1"/>
  <w:activeWritingStyle w:appName="MSWord" w:lang="en-GB" w:vendorID="64" w:dllVersion="131078" w:nlCheck="1" w:checkStyle="1"/>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146"/>
    <w:rsid w:val="00020540"/>
    <w:rsid w:val="0008565A"/>
    <w:rsid w:val="000F56AF"/>
    <w:rsid w:val="001009CA"/>
    <w:rsid w:val="00121B44"/>
    <w:rsid w:val="0013229F"/>
    <w:rsid w:val="00144112"/>
    <w:rsid w:val="0015588F"/>
    <w:rsid w:val="001713BA"/>
    <w:rsid w:val="001740C0"/>
    <w:rsid w:val="00175CA3"/>
    <w:rsid w:val="001869EC"/>
    <w:rsid w:val="001C7F2F"/>
    <w:rsid w:val="001D0724"/>
    <w:rsid w:val="001D7A65"/>
    <w:rsid w:val="001F7F75"/>
    <w:rsid w:val="00200D4D"/>
    <w:rsid w:val="00205074"/>
    <w:rsid w:val="002201FF"/>
    <w:rsid w:val="00237D09"/>
    <w:rsid w:val="00241992"/>
    <w:rsid w:val="002708FC"/>
    <w:rsid w:val="002848CC"/>
    <w:rsid w:val="002933E5"/>
    <w:rsid w:val="002958E2"/>
    <w:rsid w:val="002A2DC4"/>
    <w:rsid w:val="002D3B86"/>
    <w:rsid w:val="002F2B87"/>
    <w:rsid w:val="0030064E"/>
    <w:rsid w:val="00314ADC"/>
    <w:rsid w:val="00315E11"/>
    <w:rsid w:val="00370153"/>
    <w:rsid w:val="003A4483"/>
    <w:rsid w:val="003C469E"/>
    <w:rsid w:val="003C5331"/>
    <w:rsid w:val="003E013F"/>
    <w:rsid w:val="003E2279"/>
    <w:rsid w:val="003E2DB9"/>
    <w:rsid w:val="003F0EB3"/>
    <w:rsid w:val="004231C3"/>
    <w:rsid w:val="0043797B"/>
    <w:rsid w:val="0045590B"/>
    <w:rsid w:val="00463DB5"/>
    <w:rsid w:val="00466F95"/>
    <w:rsid w:val="004D7062"/>
    <w:rsid w:val="004F1D9A"/>
    <w:rsid w:val="0050225B"/>
    <w:rsid w:val="00522767"/>
    <w:rsid w:val="005751FD"/>
    <w:rsid w:val="005E2F1D"/>
    <w:rsid w:val="005F6AEE"/>
    <w:rsid w:val="00601FF7"/>
    <w:rsid w:val="00620E7C"/>
    <w:rsid w:val="0063519D"/>
    <w:rsid w:val="00637110"/>
    <w:rsid w:val="00690F64"/>
    <w:rsid w:val="006C099B"/>
    <w:rsid w:val="006D149B"/>
    <w:rsid w:val="006E74C4"/>
    <w:rsid w:val="006F3951"/>
    <w:rsid w:val="007030AE"/>
    <w:rsid w:val="00714CE1"/>
    <w:rsid w:val="00715CA8"/>
    <w:rsid w:val="00731755"/>
    <w:rsid w:val="00761400"/>
    <w:rsid w:val="00775878"/>
    <w:rsid w:val="00781146"/>
    <w:rsid w:val="00785E7E"/>
    <w:rsid w:val="00792B8B"/>
    <w:rsid w:val="007A255B"/>
    <w:rsid w:val="007A4412"/>
    <w:rsid w:val="007A7ACB"/>
    <w:rsid w:val="007B3E00"/>
    <w:rsid w:val="007E479A"/>
    <w:rsid w:val="00810AFF"/>
    <w:rsid w:val="00811B63"/>
    <w:rsid w:val="00816A31"/>
    <w:rsid w:val="00825D04"/>
    <w:rsid w:val="008260A5"/>
    <w:rsid w:val="008647F3"/>
    <w:rsid w:val="008652CA"/>
    <w:rsid w:val="0087787A"/>
    <w:rsid w:val="00891199"/>
    <w:rsid w:val="008B4444"/>
    <w:rsid w:val="008B7D3C"/>
    <w:rsid w:val="008F7DE8"/>
    <w:rsid w:val="0090172B"/>
    <w:rsid w:val="0090692F"/>
    <w:rsid w:val="00925784"/>
    <w:rsid w:val="00937519"/>
    <w:rsid w:val="009516C3"/>
    <w:rsid w:val="00971AD2"/>
    <w:rsid w:val="00981544"/>
    <w:rsid w:val="0098193F"/>
    <w:rsid w:val="00995549"/>
    <w:rsid w:val="009C6C4F"/>
    <w:rsid w:val="009D6A86"/>
    <w:rsid w:val="009D7027"/>
    <w:rsid w:val="009E270C"/>
    <w:rsid w:val="00A46634"/>
    <w:rsid w:val="00A6569F"/>
    <w:rsid w:val="00A80DF5"/>
    <w:rsid w:val="00A93E89"/>
    <w:rsid w:val="00A95124"/>
    <w:rsid w:val="00AB088B"/>
    <w:rsid w:val="00AD30D2"/>
    <w:rsid w:val="00AF36C0"/>
    <w:rsid w:val="00B40995"/>
    <w:rsid w:val="00B521E1"/>
    <w:rsid w:val="00B572C2"/>
    <w:rsid w:val="00B70E34"/>
    <w:rsid w:val="00B91AAC"/>
    <w:rsid w:val="00BE3D5B"/>
    <w:rsid w:val="00C0309C"/>
    <w:rsid w:val="00C062C1"/>
    <w:rsid w:val="00C32D00"/>
    <w:rsid w:val="00C35B0F"/>
    <w:rsid w:val="00C4000B"/>
    <w:rsid w:val="00C507F3"/>
    <w:rsid w:val="00C7602D"/>
    <w:rsid w:val="00CE4A24"/>
    <w:rsid w:val="00D064C5"/>
    <w:rsid w:val="00D221A6"/>
    <w:rsid w:val="00D54219"/>
    <w:rsid w:val="00D6529F"/>
    <w:rsid w:val="00D83790"/>
    <w:rsid w:val="00D90736"/>
    <w:rsid w:val="00DD0F73"/>
    <w:rsid w:val="00DE202F"/>
    <w:rsid w:val="00DE210D"/>
    <w:rsid w:val="00DE21D3"/>
    <w:rsid w:val="00DF2534"/>
    <w:rsid w:val="00E00DBA"/>
    <w:rsid w:val="00E109CE"/>
    <w:rsid w:val="00E15219"/>
    <w:rsid w:val="00E2620E"/>
    <w:rsid w:val="00E26D30"/>
    <w:rsid w:val="00E71C66"/>
    <w:rsid w:val="00E8474E"/>
    <w:rsid w:val="00EA13C4"/>
    <w:rsid w:val="00EA1F0B"/>
    <w:rsid w:val="00EB14C9"/>
    <w:rsid w:val="00EE535D"/>
    <w:rsid w:val="00F00BF6"/>
    <w:rsid w:val="00F042DD"/>
    <w:rsid w:val="00F25952"/>
    <w:rsid w:val="00F51600"/>
    <w:rsid w:val="00F52152"/>
    <w:rsid w:val="00F66ABC"/>
    <w:rsid w:val="00F67F82"/>
    <w:rsid w:val="00F97BB3"/>
    <w:rsid w:val="00FA7F78"/>
    <w:rsid w:val="00FF745F"/>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89B8A8"/>
  <w15:docId w15:val="{22296D9A-95A9-45CD-895E-914C6D021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lsdException w:name="Colorful Grid Accent 6"/>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
    <w:qFormat/>
    <w:rsid w:val="00F25952"/>
    <w:pPr>
      <w:spacing w:before="120" w:line="280" w:lineRule="atLeast"/>
    </w:pPr>
    <w:rPr>
      <w:bCs/>
      <w:sz w:val="22"/>
      <w:szCs w:val="24"/>
      <w:lang w:eastAsia="es-ES"/>
    </w:rPr>
  </w:style>
  <w:style w:type="paragraph" w:styleId="Heading1">
    <w:name w:val="heading 1"/>
    <w:aliases w:val="h1"/>
    <w:basedOn w:val="Normal"/>
    <w:next w:val="Normal"/>
    <w:link w:val="Heading1Char"/>
    <w:qFormat/>
    <w:rsid w:val="00891199"/>
    <w:pPr>
      <w:keepNext/>
      <w:tabs>
        <w:tab w:val="right" w:pos="9356"/>
      </w:tabs>
      <w:spacing w:before="0" w:line="240" w:lineRule="auto"/>
      <w:outlineLvl w:val="0"/>
    </w:pPr>
    <w:rPr>
      <w:rFonts w:ascii="Tahoma" w:eastAsia="MS PGothic" w:hAnsi="Tahoma" w:cs="Tahoma"/>
      <w:b/>
      <w:color w:val="004386"/>
      <w:kern w:val="32"/>
      <w:sz w:val="28"/>
      <w:szCs w:val="32"/>
    </w:rPr>
  </w:style>
  <w:style w:type="paragraph" w:styleId="Heading2">
    <w:name w:val="heading 2"/>
    <w:aliases w:val="h2"/>
    <w:basedOn w:val="Heading1"/>
    <w:next w:val="Normal"/>
    <w:link w:val="Heading2Char"/>
    <w:qFormat/>
    <w:rsid w:val="004231C3"/>
    <w:pPr>
      <w:spacing w:before="160" w:after="400"/>
      <w:outlineLvl w:val="1"/>
    </w:pPr>
    <w:rPr>
      <w:rFonts w:cs="Arial"/>
      <w:b w:val="0"/>
      <w:i/>
      <w:sz w:val="24"/>
    </w:rPr>
  </w:style>
  <w:style w:type="paragraph" w:styleId="Heading3">
    <w:name w:val="heading 3"/>
    <w:aliases w:val="h3"/>
    <w:basedOn w:val="Heading2"/>
    <w:next w:val="Normal"/>
    <w:link w:val="Heading3Char"/>
    <w:qFormat/>
    <w:rsid w:val="00811B63"/>
    <w:pPr>
      <w:pageBreakBefore/>
      <w:spacing w:before="0" w:after="0"/>
      <w:outlineLvl w:val="2"/>
    </w:pPr>
    <w:rPr>
      <w:b/>
      <w:i w:val="0"/>
      <w:szCs w:val="24"/>
    </w:rPr>
  </w:style>
  <w:style w:type="paragraph" w:styleId="Heading4">
    <w:name w:val="heading 4"/>
    <w:aliases w:val="h4"/>
    <w:basedOn w:val="Heading3"/>
    <w:next w:val="Normal"/>
    <w:link w:val="Heading4Char"/>
    <w:uiPriority w:val="9"/>
    <w:unhideWhenUsed/>
    <w:qFormat/>
    <w:rsid w:val="00F51600"/>
    <w:pPr>
      <w:keepLines/>
      <w:spacing w:after="160"/>
      <w:outlineLvl w:val="3"/>
    </w:pPr>
    <w:rPr>
      <w:rFonts w:cs="Times New Roman"/>
    </w:rPr>
  </w:style>
  <w:style w:type="paragraph" w:styleId="Heading5">
    <w:name w:val="heading 5"/>
    <w:basedOn w:val="Normal"/>
    <w:next w:val="Normal"/>
    <w:link w:val="Heading5Char"/>
    <w:qFormat/>
    <w:rsid w:val="00205074"/>
    <w:pPr>
      <w:spacing w:before="240" w:after="60"/>
      <w:outlineLvl w:val="4"/>
    </w:pPr>
    <w:rPr>
      <w:b/>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link w:val="Heading1"/>
    <w:rsid w:val="00891199"/>
    <w:rPr>
      <w:rFonts w:ascii="Tahoma" w:eastAsia="MS PGothic" w:hAnsi="Tahoma" w:cs="Tahoma"/>
      <w:b/>
      <w:bCs/>
      <w:color w:val="004386"/>
      <w:kern w:val="32"/>
      <w:sz w:val="28"/>
      <w:szCs w:val="32"/>
      <w:lang w:val="en-GB" w:eastAsia="es-ES"/>
    </w:rPr>
  </w:style>
  <w:style w:type="character" w:customStyle="1" w:styleId="Heading2Char">
    <w:name w:val="Heading 2 Char"/>
    <w:aliases w:val="h2 Char"/>
    <w:link w:val="Heading2"/>
    <w:rsid w:val="004231C3"/>
    <w:rPr>
      <w:rFonts w:ascii="Tahoma" w:eastAsia="MS PGothic" w:hAnsi="Tahoma" w:cs="Arial"/>
      <w:bCs/>
      <w:i/>
      <w:color w:val="004386"/>
      <w:kern w:val="32"/>
      <w:sz w:val="24"/>
      <w:szCs w:val="32"/>
      <w:lang w:val="en-GB" w:eastAsia="es-ES"/>
    </w:rPr>
  </w:style>
  <w:style w:type="character" w:customStyle="1" w:styleId="Heading3Char">
    <w:name w:val="Heading 3 Char"/>
    <w:aliases w:val="h3 Char"/>
    <w:link w:val="Heading3"/>
    <w:rsid w:val="00811B63"/>
    <w:rPr>
      <w:rFonts w:ascii="Tahoma" w:eastAsia="MS PGothic" w:hAnsi="Tahoma" w:cs="Arial"/>
      <w:b/>
      <w:bCs/>
      <w:color w:val="004386"/>
      <w:kern w:val="32"/>
      <w:sz w:val="24"/>
      <w:szCs w:val="24"/>
      <w:lang w:val="en-GB" w:eastAsia="es-ES"/>
    </w:rPr>
  </w:style>
  <w:style w:type="character" w:customStyle="1" w:styleId="Heading4Char">
    <w:name w:val="Heading 4 Char"/>
    <w:aliases w:val="h4 Char"/>
    <w:link w:val="Heading4"/>
    <w:uiPriority w:val="9"/>
    <w:rsid w:val="00F51600"/>
    <w:rPr>
      <w:rFonts w:ascii="Tahoma" w:eastAsia="MS PGothic" w:hAnsi="Tahoma" w:cs="Times New Roman"/>
      <w:b/>
      <w:bCs/>
      <w:color w:val="004386"/>
      <w:kern w:val="32"/>
      <w:sz w:val="24"/>
      <w:szCs w:val="24"/>
      <w:lang w:val="en-GB" w:eastAsia="es-ES"/>
    </w:rPr>
  </w:style>
  <w:style w:type="character" w:customStyle="1" w:styleId="Heading5Char">
    <w:name w:val="Heading 5 Char"/>
    <w:link w:val="Heading5"/>
    <w:rsid w:val="00205074"/>
    <w:rPr>
      <w:b/>
      <w:bCs/>
      <w:i/>
      <w:iCs/>
      <w:sz w:val="26"/>
      <w:szCs w:val="26"/>
      <w:lang w:val="en-US" w:eastAsia="es-ES"/>
    </w:rPr>
  </w:style>
  <w:style w:type="paragraph" w:styleId="Caption">
    <w:name w:val="caption"/>
    <w:basedOn w:val="Normal"/>
    <w:next w:val="Normal"/>
    <w:uiPriority w:val="35"/>
    <w:unhideWhenUsed/>
    <w:qFormat/>
    <w:rsid w:val="00205074"/>
    <w:pPr>
      <w:spacing w:before="0" w:after="200"/>
    </w:pPr>
    <w:rPr>
      <w:rFonts w:eastAsia="Calibri"/>
      <w:b/>
      <w:color w:val="579305"/>
      <w:sz w:val="18"/>
      <w:szCs w:val="18"/>
      <w:lang w:eastAsia="en-US"/>
    </w:rPr>
  </w:style>
  <w:style w:type="character" w:styleId="Emphasis">
    <w:name w:val="Emphasis"/>
    <w:qFormat/>
    <w:rsid w:val="00205074"/>
    <w:rPr>
      <w:b/>
      <w:i w:val="0"/>
      <w:iCs/>
    </w:rPr>
  </w:style>
  <w:style w:type="table" w:styleId="TableGrid">
    <w:name w:val="Table Grid"/>
    <w:basedOn w:val="TableNormal"/>
    <w:uiPriority w:val="59"/>
    <w:rsid w:val="002050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205074"/>
    <w:rPr>
      <w:color w:val="004386"/>
      <w:u w:val="single"/>
    </w:rPr>
  </w:style>
  <w:style w:type="paragraph" w:styleId="BalloonText">
    <w:name w:val="Balloon Text"/>
    <w:basedOn w:val="Normal"/>
    <w:link w:val="BalloonTextChar"/>
    <w:uiPriority w:val="99"/>
    <w:semiHidden/>
    <w:unhideWhenUsed/>
    <w:rsid w:val="00205074"/>
    <w:pPr>
      <w:spacing w:before="0"/>
    </w:pPr>
    <w:rPr>
      <w:rFonts w:cs="Tahoma"/>
      <w:sz w:val="16"/>
      <w:szCs w:val="16"/>
    </w:rPr>
  </w:style>
  <w:style w:type="character" w:customStyle="1" w:styleId="BalloonTextChar">
    <w:name w:val="Balloon Text Char"/>
    <w:link w:val="BalloonText"/>
    <w:uiPriority w:val="99"/>
    <w:semiHidden/>
    <w:rsid w:val="00205074"/>
    <w:rPr>
      <w:rFonts w:cs="Tahoma"/>
      <w:bCs/>
      <w:sz w:val="16"/>
      <w:szCs w:val="16"/>
      <w:lang w:val="en-US" w:eastAsia="es-ES"/>
    </w:rPr>
  </w:style>
  <w:style w:type="paragraph" w:customStyle="1" w:styleId="table">
    <w:name w:val="table"/>
    <w:aliases w:val="t"/>
    <w:basedOn w:val="Normal"/>
    <w:qFormat/>
    <w:rsid w:val="00121B44"/>
    <w:pPr>
      <w:spacing w:before="160" w:after="160"/>
      <w:ind w:left="119" w:right="119"/>
    </w:pPr>
    <w:rPr>
      <w:sz w:val="24"/>
    </w:rPr>
  </w:style>
  <w:style w:type="paragraph" w:customStyle="1" w:styleId="tableheading">
    <w:name w:val="table heading"/>
    <w:aliases w:val="th"/>
    <w:basedOn w:val="table"/>
    <w:qFormat/>
    <w:rsid w:val="00522767"/>
    <w:rPr>
      <w:rFonts w:ascii="Tahoma" w:hAnsi="Tahoma"/>
      <w:b/>
      <w:color w:val="004386"/>
      <w:sz w:val="22"/>
      <w:szCs w:val="22"/>
    </w:rPr>
  </w:style>
  <w:style w:type="paragraph" w:customStyle="1" w:styleId="bullet">
    <w:name w:val="bullet"/>
    <w:aliases w:val="b"/>
    <w:basedOn w:val="Normal"/>
    <w:qFormat/>
    <w:rsid w:val="00205074"/>
    <w:pPr>
      <w:numPr>
        <w:numId w:val="16"/>
      </w:numPr>
    </w:pPr>
  </w:style>
  <w:style w:type="paragraph" w:customStyle="1" w:styleId="tablebullet">
    <w:name w:val="table bullet"/>
    <w:basedOn w:val="table"/>
    <w:qFormat/>
    <w:rsid w:val="00205074"/>
    <w:pPr>
      <w:numPr>
        <w:numId w:val="17"/>
      </w:numPr>
      <w:ind w:left="284" w:hanging="284"/>
    </w:pPr>
  </w:style>
  <w:style w:type="paragraph" w:styleId="Header">
    <w:name w:val="header"/>
    <w:basedOn w:val="Normal"/>
    <w:link w:val="HeaderChar"/>
    <w:uiPriority w:val="99"/>
    <w:unhideWhenUsed/>
    <w:rsid w:val="00891199"/>
    <w:pPr>
      <w:pBdr>
        <w:bottom w:val="single" w:sz="4" w:space="4" w:color="004386"/>
      </w:pBdr>
      <w:tabs>
        <w:tab w:val="right" w:pos="9356"/>
      </w:tabs>
      <w:spacing w:before="0" w:line="240" w:lineRule="auto"/>
      <w:jc w:val="right"/>
    </w:pPr>
    <w:rPr>
      <w:rFonts w:ascii="Tahoma" w:hAnsi="Tahoma" w:cs="Tahoma"/>
      <w:b/>
      <w:color w:val="579305"/>
      <w:sz w:val="24"/>
    </w:rPr>
  </w:style>
  <w:style w:type="character" w:customStyle="1" w:styleId="HeaderChar">
    <w:name w:val="Header Char"/>
    <w:link w:val="Header"/>
    <w:uiPriority w:val="99"/>
    <w:rsid w:val="00891199"/>
    <w:rPr>
      <w:rFonts w:ascii="Tahoma" w:hAnsi="Tahoma" w:cs="Tahoma"/>
      <w:b/>
      <w:bCs/>
      <w:color w:val="579305"/>
      <w:sz w:val="24"/>
      <w:szCs w:val="24"/>
      <w:lang w:val="en-US" w:eastAsia="es-ES"/>
    </w:rPr>
  </w:style>
  <w:style w:type="paragraph" w:styleId="Footer">
    <w:name w:val="footer"/>
    <w:basedOn w:val="Normal"/>
    <w:link w:val="FooterChar"/>
    <w:uiPriority w:val="99"/>
    <w:unhideWhenUsed/>
    <w:rsid w:val="00F51600"/>
    <w:pPr>
      <w:pBdr>
        <w:top w:val="single" w:sz="4" w:space="4" w:color="004386"/>
      </w:pBdr>
      <w:tabs>
        <w:tab w:val="right" w:pos="9356"/>
      </w:tabs>
      <w:spacing w:before="0" w:line="240" w:lineRule="auto"/>
    </w:pPr>
    <w:rPr>
      <w:rFonts w:ascii="Tahoma" w:hAnsi="Tahoma" w:cs="Tahoma"/>
      <w:color w:val="004386"/>
      <w:sz w:val="18"/>
      <w:szCs w:val="18"/>
    </w:rPr>
  </w:style>
  <w:style w:type="character" w:customStyle="1" w:styleId="FooterChar">
    <w:name w:val="Footer Char"/>
    <w:link w:val="Footer"/>
    <w:uiPriority w:val="99"/>
    <w:rsid w:val="00F51600"/>
    <w:rPr>
      <w:rFonts w:ascii="Tahoma" w:hAnsi="Tahoma" w:cs="Tahoma"/>
      <w:bCs/>
      <w:color w:val="004386"/>
      <w:sz w:val="18"/>
      <w:szCs w:val="18"/>
      <w:lang w:val="en-US" w:eastAsia="es-ES"/>
    </w:rPr>
  </w:style>
  <w:style w:type="character" w:styleId="PageNumber">
    <w:name w:val="page number"/>
    <w:uiPriority w:val="99"/>
    <w:semiHidden/>
    <w:unhideWhenUsed/>
    <w:rsid w:val="00205074"/>
    <w:rPr>
      <w:rFonts w:ascii="Calibri" w:hAnsi="Calibri"/>
    </w:rPr>
  </w:style>
  <w:style w:type="character" w:customStyle="1" w:styleId="logobaselineshift">
    <w:name w:val="logo baseline shift"/>
    <w:uiPriority w:val="1"/>
    <w:rsid w:val="00205074"/>
    <w:rPr>
      <w:noProof/>
      <w:position w:val="-20"/>
    </w:rPr>
  </w:style>
  <w:style w:type="character" w:styleId="FollowedHyperlink">
    <w:name w:val="FollowedHyperlink"/>
    <w:uiPriority w:val="99"/>
    <w:semiHidden/>
    <w:unhideWhenUsed/>
    <w:rsid w:val="00205074"/>
    <w:rPr>
      <w:color w:val="004386"/>
      <w:u w:val="single"/>
    </w:rPr>
  </w:style>
  <w:style w:type="paragraph" w:customStyle="1" w:styleId="subbullet">
    <w:name w:val="sub bullet"/>
    <w:aliases w:val="s"/>
    <w:basedOn w:val="Normal"/>
    <w:qFormat/>
    <w:rsid w:val="00DE202F"/>
    <w:pPr>
      <w:numPr>
        <w:numId w:val="19"/>
      </w:numPr>
      <w:spacing w:before="80"/>
      <w:ind w:left="568"/>
    </w:pPr>
  </w:style>
  <w:style w:type="paragraph" w:customStyle="1" w:styleId="Largebodytable">
    <w:name w:val="Large body/table"/>
    <w:basedOn w:val="Normal"/>
    <w:qFormat/>
    <w:rsid w:val="009D7027"/>
    <w:pPr>
      <w:spacing w:before="240" w:after="240" w:line="288" w:lineRule="auto"/>
      <w:ind w:left="113" w:right="113"/>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Sphere">
  <a:themeElements>
    <a:clrScheme name="Sphere">
      <a:dk1>
        <a:sysClr val="windowText" lastClr="000000"/>
      </a:dk1>
      <a:lt1>
        <a:sysClr val="window" lastClr="FFFFFF"/>
      </a:lt1>
      <a:dk2>
        <a:srgbClr val="004386"/>
      </a:dk2>
      <a:lt2>
        <a:srgbClr val="87B91D"/>
      </a:lt2>
      <a:accent1>
        <a:srgbClr val="579305"/>
      </a:accent1>
      <a:accent2>
        <a:srgbClr val="C80F3F"/>
      </a:accent2>
      <a:accent3>
        <a:srgbClr val="FBAD18"/>
      </a:accent3>
      <a:accent4>
        <a:srgbClr val="E4028C"/>
      </a:accent4>
      <a:accent5>
        <a:srgbClr val="4BACC6"/>
      </a:accent5>
      <a:accent6>
        <a:srgbClr val="F79646"/>
      </a:accent6>
      <a:hlink>
        <a:srgbClr val="004386"/>
      </a:hlink>
      <a:folHlink>
        <a:srgbClr val="004386"/>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4</Pages>
  <Words>727</Words>
  <Characters>4146</Characters>
  <Application>Microsoft Office Word</Application>
  <DocSecurity>0</DocSecurity>
  <Lines>34</Lines>
  <Paragraphs>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Hewlett-Packard</Company>
  <LinksUpToDate>false</LinksUpToDate>
  <CharactersWithSpaces>4864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cp:lastModifiedBy>CeciliaFurtade</cp:lastModifiedBy>
  <cp:revision>3</cp:revision>
  <cp:lastPrinted>2015-01-05T10:17:00Z</cp:lastPrinted>
  <dcterms:created xsi:type="dcterms:W3CDTF">2016-07-25T17:24:00Z</dcterms:created>
  <dcterms:modified xsi:type="dcterms:W3CDTF">2016-07-25T17:31:00Z</dcterms:modified>
</cp:coreProperties>
</file>